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7B2" w:rsidRDefault="00AF37B2">
      <w:pPr>
        <w:rPr>
          <w:rFonts w:hint="cs"/>
          <w:rtl/>
        </w:rPr>
      </w:pPr>
      <w:bookmarkStart w:id="0" w:name="_GoBack"/>
      <w:bookmarkEnd w:id="0"/>
    </w:p>
    <w:tbl>
      <w:tblPr>
        <w:bidiVisual/>
        <w:tblW w:w="9365" w:type="dxa"/>
        <w:jc w:val="center"/>
        <w:tblLook w:val="04A0" w:firstRow="1" w:lastRow="0" w:firstColumn="1" w:lastColumn="0" w:noHBand="0" w:noVBand="1"/>
      </w:tblPr>
      <w:tblGrid>
        <w:gridCol w:w="9365"/>
      </w:tblGrid>
      <w:tr w:rsidR="000D0DB3" w:rsidTr="000D0DB3">
        <w:trPr>
          <w:trHeight w:val="360"/>
          <w:jc w:val="center"/>
        </w:trPr>
        <w:tc>
          <w:tcPr>
            <w:tcW w:w="9365" w:type="dxa"/>
            <w:hideMark/>
          </w:tcPr>
          <w:p w:rsidR="000D0DB3" w:rsidRPr="00AF37B2" w:rsidRDefault="00F55703" w:rsidP="003D1358">
            <w:pPr>
              <w:suppressLineNumbers/>
              <w:spacing w:after="120"/>
              <w:ind w:left="319"/>
              <w:jc w:val="both"/>
              <w:rPr>
                <w:b/>
                <w:bCs/>
                <w:sz w:val="26"/>
                <w:szCs w:val="26"/>
              </w:rPr>
            </w:pPr>
            <w:r w:rsidRPr="00AF37B2">
              <w:rPr>
                <w:rFonts w:hint="cs"/>
                <w:b/>
                <w:bCs/>
                <w:sz w:val="26"/>
                <w:szCs w:val="26"/>
                <w:rtl/>
              </w:rPr>
              <w:t>לפני הרכב כבוד השופטים:</w:t>
            </w:r>
          </w:p>
          <w:p w:rsidR="000D0DB3" w:rsidRPr="00AF37B2" w:rsidRDefault="00F55703" w:rsidP="003D1358">
            <w:pPr>
              <w:suppressLineNumbers/>
              <w:spacing w:after="120"/>
              <w:ind w:left="319"/>
              <w:jc w:val="both"/>
              <w:rPr>
                <w:b/>
                <w:bCs/>
                <w:sz w:val="26"/>
                <w:szCs w:val="26"/>
                <w:rtl/>
              </w:rPr>
            </w:pPr>
            <w:r w:rsidRPr="00AF37B2">
              <w:rPr>
                <w:rFonts w:hint="cs"/>
                <w:b/>
                <w:bCs/>
                <w:sz w:val="26"/>
                <w:szCs w:val="26"/>
                <w:rtl/>
              </w:rPr>
              <w:t>חננאל שרעבי [אב"ד]</w:t>
            </w:r>
          </w:p>
          <w:p w:rsidR="000D0DB3" w:rsidRPr="00AF37B2" w:rsidRDefault="00F55703" w:rsidP="003D1358">
            <w:pPr>
              <w:suppressLineNumbers/>
              <w:spacing w:after="120"/>
              <w:ind w:left="319"/>
              <w:jc w:val="both"/>
              <w:rPr>
                <w:b/>
                <w:bCs/>
                <w:sz w:val="26"/>
                <w:szCs w:val="26"/>
                <w:rtl/>
              </w:rPr>
            </w:pPr>
            <w:r w:rsidRPr="00AF37B2">
              <w:rPr>
                <w:rFonts w:hint="cs"/>
                <w:b/>
                <w:bCs/>
                <w:sz w:val="26"/>
                <w:szCs w:val="26"/>
                <w:rtl/>
              </w:rPr>
              <w:t>אספרנצה אלון</w:t>
            </w:r>
          </w:p>
          <w:p w:rsidR="000D0DB3" w:rsidRPr="00AF37B2" w:rsidRDefault="00F55703" w:rsidP="003D1358">
            <w:pPr>
              <w:suppressLineNumbers/>
              <w:spacing w:after="120"/>
              <w:ind w:left="319"/>
              <w:jc w:val="both"/>
              <w:rPr>
                <w:b/>
                <w:bCs/>
                <w:sz w:val="26"/>
                <w:szCs w:val="26"/>
                <w:rtl/>
              </w:rPr>
            </w:pPr>
            <w:r w:rsidRPr="00AF37B2">
              <w:rPr>
                <w:rFonts w:hint="cs"/>
                <w:b/>
                <w:bCs/>
                <w:sz w:val="26"/>
                <w:szCs w:val="26"/>
                <w:rtl/>
              </w:rPr>
              <w:t xml:space="preserve">אריה נאמן </w:t>
            </w:r>
          </w:p>
          <w:p w:rsidR="000D0DB3" w:rsidRDefault="00843F0A">
            <w:pPr>
              <w:suppressLineNumbers/>
              <w:spacing w:line="360" w:lineRule="auto"/>
              <w:ind w:left="319"/>
              <w:jc w:val="both"/>
              <w:rPr>
                <w:b/>
                <w:bCs/>
                <w:rtl/>
              </w:rPr>
            </w:pPr>
          </w:p>
        </w:tc>
      </w:tr>
    </w:tbl>
    <w:tbl>
      <w:tblPr>
        <w:tblStyle w:val="a9"/>
        <w:bidiVisual/>
        <w:tblW w:w="7911" w:type="dxa"/>
        <w:tblInd w:w="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74"/>
        <w:gridCol w:w="5737"/>
      </w:tblGrid>
      <w:tr w:rsidR="000D0DB3" w:rsidTr="00AF37B2">
        <w:tc>
          <w:tcPr>
            <w:tcW w:w="2174" w:type="dxa"/>
          </w:tcPr>
          <w:p w:rsidR="000D0DB3" w:rsidRDefault="00843F0A">
            <w:pPr>
              <w:suppressLineNumbers/>
              <w:rPr>
                <w:rFonts w:ascii="David" w:eastAsia="David" w:hAnsi="David"/>
                <w:b/>
                <w:bCs/>
              </w:rPr>
            </w:pPr>
          </w:p>
          <w:p w:rsidR="000D0DB3" w:rsidRDefault="00F55703">
            <w:pPr>
              <w:suppressLineNumbers/>
              <w:rPr>
                <w:rFonts w:ascii="David" w:eastAsia="David" w:hAnsi="David"/>
                <w:b/>
                <w:bCs/>
                <w:rtl/>
              </w:rPr>
            </w:pPr>
            <w:r w:rsidRPr="003D1358">
              <w:rPr>
                <w:rFonts w:ascii="David" w:eastAsia="David" w:hAnsi="David" w:hint="cs"/>
                <w:b/>
                <w:bCs/>
                <w:sz w:val="26"/>
                <w:szCs w:val="26"/>
                <w:rtl/>
              </w:rPr>
              <w:t>ה</w:t>
            </w:r>
            <w:sdt>
              <w:sdtPr>
                <w:rPr>
                  <w:b/>
                  <w:bCs/>
                  <w:sz w:val="26"/>
                  <w:szCs w:val="26"/>
                  <w:rtl/>
                </w:rPr>
                <w:alias w:val="1264"/>
                <w:tag w:val="1264"/>
                <w:id w:val="748628538"/>
                <w:placeholder>
                  <w:docPart w:val="CC1B17643A83416E8EAC9AA24B7F6541"/>
                </w:placeholder>
                <w:text w:multiLine="1"/>
              </w:sdtPr>
              <w:sdtEndPr/>
              <w:sdtContent>
                <w:r w:rsidRPr="003D1358">
                  <w:rPr>
                    <w:rFonts w:ascii="David" w:eastAsia="David" w:hAnsi="David"/>
                    <w:b/>
                    <w:bCs/>
                    <w:sz w:val="26"/>
                    <w:szCs w:val="26"/>
                    <w:rtl/>
                  </w:rPr>
                  <w:t>מערער</w:t>
                </w:r>
              </w:sdtContent>
            </w:sdt>
          </w:p>
        </w:tc>
        <w:tc>
          <w:tcPr>
            <w:tcW w:w="5737" w:type="dxa"/>
          </w:tcPr>
          <w:p w:rsidR="000D0DB3" w:rsidRDefault="00843F0A">
            <w:pPr>
              <w:suppressLineNumbers/>
              <w:rPr>
                <w:b/>
                <w:bCs/>
                <w:rtl/>
              </w:rPr>
            </w:pPr>
          </w:p>
          <w:p w:rsidR="000D0DB3" w:rsidRPr="003D1358" w:rsidRDefault="00843F0A" w:rsidP="00683C0C">
            <w:pPr>
              <w:suppressLineNumbers/>
              <w:spacing w:after="120"/>
              <w:rPr>
                <w:b/>
                <w:bCs/>
                <w:sz w:val="26"/>
                <w:szCs w:val="26"/>
                <w:rtl/>
              </w:rPr>
            </w:pPr>
            <w:sdt>
              <w:sdtPr>
                <w:rPr>
                  <w:b/>
                  <w:bCs/>
                  <w:sz w:val="26"/>
                  <w:szCs w:val="26"/>
                  <w:rtl/>
                </w:rPr>
                <w:alias w:val="825"/>
                <w:tag w:val="825"/>
                <w:id w:val="-1814248023"/>
                <w:placeholder>
                  <w:docPart w:val="1CA9393475B94E01B86BE56860E4656F"/>
                </w:placeholder>
                <w:text w:multiLine="1"/>
              </w:sdtPr>
              <w:sdtEndPr/>
              <w:sdtContent>
                <w:r w:rsidR="00683C0C">
                  <w:rPr>
                    <w:rFonts w:ascii="David" w:eastAsia="David" w:hAnsi="David"/>
                    <w:b/>
                    <w:bCs/>
                    <w:sz w:val="26"/>
                    <w:szCs w:val="26"/>
                    <w:rtl/>
                  </w:rPr>
                  <w:t>נ</w:t>
                </w:r>
                <w:r w:rsidR="00683C0C">
                  <w:rPr>
                    <w:rFonts w:ascii="David" w:eastAsia="David" w:hAnsi="David" w:hint="cs"/>
                    <w:b/>
                    <w:bCs/>
                    <w:sz w:val="26"/>
                    <w:szCs w:val="26"/>
                    <w:rtl/>
                  </w:rPr>
                  <w:t>. א. מ</w:t>
                </w:r>
              </w:sdtContent>
            </w:sdt>
            <w:r w:rsidR="00F55703" w:rsidRPr="003D1358">
              <w:rPr>
                <w:rFonts w:hint="cs"/>
                <w:b/>
                <w:bCs/>
                <w:sz w:val="26"/>
                <w:szCs w:val="26"/>
                <w:rtl/>
              </w:rPr>
              <w:t xml:space="preserve">  </w:t>
            </w:r>
          </w:p>
          <w:p w:rsidR="000D0DB3" w:rsidRPr="003D1358" w:rsidRDefault="00F55703" w:rsidP="00683C0C">
            <w:pPr>
              <w:suppressLineNumbers/>
              <w:spacing w:after="120"/>
              <w:rPr>
                <w:b/>
                <w:bCs/>
                <w:sz w:val="26"/>
                <w:szCs w:val="26"/>
                <w:rtl/>
              </w:rPr>
            </w:pPr>
            <w:r w:rsidRPr="003D1358">
              <w:rPr>
                <w:b/>
                <w:bCs/>
                <w:sz w:val="26"/>
                <w:szCs w:val="26"/>
                <w:rtl/>
              </w:rPr>
              <w:t>(</w:t>
            </w:r>
            <w:sdt>
              <w:sdtPr>
                <w:rPr>
                  <w:b/>
                  <w:bCs/>
                  <w:sz w:val="26"/>
                  <w:szCs w:val="26"/>
                  <w:rtl/>
                </w:rPr>
                <w:alias w:val="825"/>
                <w:tag w:val="825"/>
                <w:id w:val="-1404140937"/>
                <w:placeholder>
                  <w:docPart w:val="A91968EBEA1A414AA02D600DEA59407A"/>
                </w:placeholder>
                <w:text w:multiLine="1"/>
              </w:sdtPr>
              <w:sdtEndPr/>
              <w:sdtContent>
                <w:r w:rsidR="00683C0C">
                  <w:rPr>
                    <w:rFonts w:ascii="David" w:eastAsia="David" w:hAnsi="David"/>
                    <w:b/>
                    <w:bCs/>
                    <w:sz w:val="26"/>
                    <w:szCs w:val="26"/>
                    <w:rtl/>
                  </w:rPr>
                  <w:t>א</w:t>
                </w:r>
                <w:r w:rsidR="00683C0C">
                  <w:rPr>
                    <w:rFonts w:ascii="David" w:eastAsia="David" w:hAnsi="David" w:hint="cs"/>
                    <w:b/>
                    <w:bCs/>
                    <w:sz w:val="26"/>
                    <w:szCs w:val="26"/>
                    <w:rtl/>
                  </w:rPr>
                  <w:t>.</w:t>
                </w:r>
                <w:r w:rsidR="00683C0C">
                  <w:rPr>
                    <w:rFonts w:ascii="David" w:eastAsia="David" w:hAnsi="David"/>
                    <w:b/>
                    <w:bCs/>
                    <w:sz w:val="26"/>
                    <w:szCs w:val="26"/>
                    <w:rtl/>
                  </w:rPr>
                  <w:t xml:space="preserve"> מ</w:t>
                </w:r>
                <w:r w:rsidR="00683C0C">
                  <w:rPr>
                    <w:rFonts w:ascii="David" w:eastAsia="David" w:hAnsi="David" w:hint="cs"/>
                    <w:b/>
                    <w:bCs/>
                    <w:sz w:val="26"/>
                    <w:szCs w:val="26"/>
                    <w:rtl/>
                  </w:rPr>
                  <w:t>.</w:t>
                </w:r>
              </w:sdtContent>
            </w:sdt>
            <w:r w:rsidRPr="003D1358">
              <w:rPr>
                <w:rFonts w:hint="cs"/>
                <w:b/>
                <w:bCs/>
                <w:sz w:val="26"/>
                <w:szCs w:val="26"/>
                <w:rtl/>
              </w:rPr>
              <w:t xml:space="preserve"> – אמו של המערער)</w:t>
            </w:r>
          </w:p>
          <w:p w:rsidR="000D0DB3" w:rsidRPr="003D1358" w:rsidRDefault="003D1358" w:rsidP="003D1358">
            <w:pPr>
              <w:suppressLineNumbers/>
              <w:spacing w:after="120"/>
              <w:rPr>
                <w:b/>
                <w:bCs/>
                <w:sz w:val="26"/>
                <w:szCs w:val="26"/>
              </w:rPr>
            </w:pPr>
            <w:r w:rsidRPr="003D1358">
              <w:rPr>
                <w:rFonts w:hint="cs"/>
                <w:b/>
                <w:bCs/>
                <w:sz w:val="26"/>
                <w:szCs w:val="26"/>
                <w:rtl/>
              </w:rPr>
              <w:t>ע"י ב"כ עו"ד גדלי סולן ושרין סולן</w:t>
            </w:r>
          </w:p>
        </w:tc>
      </w:tr>
      <w:tr w:rsidR="000D0DB3" w:rsidTr="00AF37B2">
        <w:tc>
          <w:tcPr>
            <w:tcW w:w="7911" w:type="dxa"/>
            <w:gridSpan w:val="2"/>
          </w:tcPr>
          <w:p w:rsidR="000D0DB3" w:rsidRDefault="00843F0A">
            <w:pPr>
              <w:suppressLineNumbers/>
              <w:rPr>
                <w:rFonts w:ascii="David" w:eastAsia="David" w:hAnsi="David"/>
                <w:b/>
                <w:bCs/>
              </w:rPr>
            </w:pPr>
          </w:p>
          <w:p w:rsidR="000D0DB3" w:rsidRPr="003D1358" w:rsidRDefault="00F55703" w:rsidP="003D1358">
            <w:pPr>
              <w:suppressLineNumbers/>
              <w:spacing w:after="120"/>
              <w:jc w:val="center"/>
              <w:rPr>
                <w:rFonts w:ascii="David" w:eastAsia="David" w:hAnsi="David"/>
                <w:b/>
                <w:bCs/>
                <w:sz w:val="26"/>
                <w:szCs w:val="26"/>
                <w:rtl/>
              </w:rPr>
            </w:pPr>
            <w:r w:rsidRPr="003D1358">
              <w:rPr>
                <w:rFonts w:ascii="David" w:eastAsia="David" w:hAnsi="David" w:hint="cs"/>
                <w:b/>
                <w:bCs/>
                <w:sz w:val="26"/>
                <w:szCs w:val="26"/>
                <w:rtl/>
              </w:rPr>
              <w:t>נגד</w:t>
            </w:r>
          </w:p>
          <w:p w:rsidR="000D0DB3" w:rsidRDefault="00843F0A">
            <w:pPr>
              <w:suppressLineNumbers/>
              <w:rPr>
                <w:rFonts w:ascii="David" w:eastAsia="David" w:hAnsi="David"/>
                <w:b/>
                <w:bCs/>
                <w:rtl/>
              </w:rPr>
            </w:pPr>
          </w:p>
        </w:tc>
      </w:tr>
      <w:tr w:rsidR="000D0DB3" w:rsidTr="00AF37B2">
        <w:trPr>
          <w:trHeight w:val="740"/>
        </w:trPr>
        <w:tc>
          <w:tcPr>
            <w:tcW w:w="2174" w:type="dxa"/>
            <w:hideMark/>
          </w:tcPr>
          <w:p w:rsidR="000D0DB3" w:rsidRDefault="00F55703">
            <w:pPr>
              <w:suppressLineNumbers/>
              <w:rPr>
                <w:rFonts w:ascii="David" w:eastAsia="David" w:hAnsi="David"/>
                <w:b/>
                <w:bCs/>
                <w:rtl/>
              </w:rPr>
            </w:pPr>
            <w:r w:rsidRPr="003D1358">
              <w:rPr>
                <w:rFonts w:ascii="David" w:eastAsia="David" w:hAnsi="David" w:hint="cs"/>
                <w:b/>
                <w:bCs/>
                <w:sz w:val="26"/>
                <w:szCs w:val="26"/>
                <w:rtl/>
              </w:rPr>
              <w:t>ה</w:t>
            </w:r>
            <w:sdt>
              <w:sdtPr>
                <w:rPr>
                  <w:b/>
                  <w:bCs/>
                  <w:sz w:val="26"/>
                  <w:szCs w:val="26"/>
                  <w:rtl/>
                </w:rPr>
                <w:alias w:val="1265"/>
                <w:tag w:val="1265"/>
                <w:id w:val="15438151"/>
                <w:text/>
              </w:sdtPr>
              <w:sdtEndPr/>
              <w:sdtContent>
                <w:r w:rsidRPr="003D1358">
                  <w:rPr>
                    <w:rFonts w:ascii="David" w:eastAsia="David" w:hAnsi="David"/>
                    <w:b/>
                    <w:bCs/>
                    <w:sz w:val="26"/>
                    <w:szCs w:val="26"/>
                    <w:rtl/>
                  </w:rPr>
                  <w:t>משיבים</w:t>
                </w:r>
              </w:sdtContent>
            </w:sdt>
          </w:p>
        </w:tc>
        <w:tc>
          <w:tcPr>
            <w:tcW w:w="5737" w:type="dxa"/>
          </w:tcPr>
          <w:p w:rsidR="000D0DB3" w:rsidRDefault="00843F0A" w:rsidP="00683C0C">
            <w:pPr>
              <w:suppressLineNumbers/>
              <w:rPr>
                <w:b/>
                <w:bCs/>
                <w:rtl/>
              </w:rPr>
            </w:pPr>
            <w:sdt>
              <w:sdtPr>
                <w:rPr>
                  <w:b/>
                  <w:bCs/>
                  <w:sz w:val="26"/>
                  <w:szCs w:val="26"/>
                  <w:rtl/>
                </w:rPr>
                <w:alias w:val="829"/>
                <w:tag w:val="829"/>
                <w:id w:val="-731926407"/>
                <w:placeholder>
                  <w:docPart w:val="81C61C40C0BE4DC6BB666A12DEC76965"/>
                </w:placeholder>
                <w:text w:multiLine="1"/>
              </w:sdtPr>
              <w:sdtEndPr/>
              <w:sdtContent>
                <w:r w:rsidR="00F55703" w:rsidRPr="003D1358">
                  <w:rPr>
                    <w:rFonts w:ascii="David" w:eastAsia="David" w:hAnsi="David"/>
                    <w:b/>
                    <w:bCs/>
                    <w:sz w:val="26"/>
                    <w:szCs w:val="26"/>
                  </w:rPr>
                  <w:t>.1</w:t>
                </w:r>
              </w:sdtContent>
            </w:sdt>
            <w:r w:rsidR="00F55703">
              <w:rPr>
                <w:rFonts w:hint="cs"/>
                <w:b/>
                <w:bCs/>
                <w:rtl/>
              </w:rPr>
              <w:t xml:space="preserve"> </w:t>
            </w:r>
            <w:sdt>
              <w:sdtPr>
                <w:rPr>
                  <w:b/>
                  <w:bCs/>
                  <w:sz w:val="26"/>
                  <w:szCs w:val="26"/>
                  <w:rtl/>
                </w:rPr>
                <w:alias w:val="1266"/>
                <w:tag w:val="1266"/>
                <w:id w:val="1865085449"/>
                <w:placeholder>
                  <w:docPart w:val="B733ED5D5A724ED0B06E3D6586625A84"/>
                </w:placeholder>
                <w:text w:multiLine="1"/>
              </w:sdtPr>
              <w:sdtEndPr/>
              <w:sdtContent>
                <w:r w:rsidR="00F55703" w:rsidRPr="003D1358">
                  <w:rPr>
                    <w:b/>
                    <w:bCs/>
                    <w:sz w:val="26"/>
                    <w:szCs w:val="26"/>
                    <w:rtl/>
                  </w:rPr>
                  <w:t xml:space="preserve">עזבון המנוח </w:t>
                </w:r>
                <w:r w:rsidR="00683C0C">
                  <w:rPr>
                    <w:rFonts w:hint="cs"/>
                    <w:b/>
                    <w:bCs/>
                    <w:sz w:val="26"/>
                    <w:szCs w:val="26"/>
                    <w:rtl/>
                  </w:rPr>
                  <w:t>נ. ס</w:t>
                </w:r>
                <w:r w:rsidR="00F55703" w:rsidRPr="003D1358">
                  <w:rPr>
                    <w:b/>
                    <w:bCs/>
                    <w:sz w:val="26"/>
                    <w:szCs w:val="26"/>
                    <w:rtl/>
                  </w:rPr>
                  <w:t xml:space="preserve"> (המנוח)</w:t>
                </w:r>
              </w:sdtContent>
            </w:sdt>
          </w:p>
          <w:p w:rsidR="000D0DB3" w:rsidRDefault="00F55703" w:rsidP="00683C0C">
            <w:pPr>
              <w:suppressLineNumbers/>
              <w:spacing w:line="360" w:lineRule="auto"/>
              <w:rPr>
                <w:b/>
                <w:bCs/>
                <w:rtl/>
              </w:rPr>
            </w:pPr>
            <w:r>
              <w:rPr>
                <w:rFonts w:ascii="David" w:hAnsi="David" w:hint="cs"/>
                <w:b/>
                <w:bCs/>
                <w:rtl/>
              </w:rPr>
              <w:t xml:space="preserve">    </w:t>
            </w:r>
            <w:r w:rsidRPr="003D1358">
              <w:rPr>
                <w:rFonts w:ascii="David" w:hAnsi="David" w:hint="cs"/>
                <w:b/>
                <w:bCs/>
                <w:sz w:val="26"/>
                <w:szCs w:val="26"/>
                <w:rtl/>
              </w:rPr>
              <w:t xml:space="preserve">באמצעות היורשת </w:t>
            </w:r>
            <w:sdt>
              <w:sdtPr>
                <w:rPr>
                  <w:b/>
                  <w:bCs/>
                  <w:sz w:val="26"/>
                  <w:szCs w:val="26"/>
                  <w:rtl/>
                </w:rPr>
                <w:alias w:val="1266"/>
                <w:tag w:val="1266"/>
                <w:id w:val="-767851550"/>
                <w:placeholder>
                  <w:docPart w:val="B733ED5D5A724ED0B06E3D6586625A84"/>
                </w:placeholder>
                <w:text w:multiLine="1"/>
              </w:sdtPr>
              <w:sdtEndPr/>
              <w:sdtContent>
                <w:r w:rsidR="00683C0C">
                  <w:rPr>
                    <w:rFonts w:ascii="David" w:eastAsia="David" w:hAnsi="David" w:hint="cs"/>
                    <w:b/>
                    <w:bCs/>
                    <w:sz w:val="26"/>
                    <w:szCs w:val="26"/>
                    <w:rtl/>
                  </w:rPr>
                  <w:t>ק. ס</w:t>
                </w:r>
              </w:sdtContent>
            </w:sdt>
          </w:p>
          <w:p w:rsidR="000D0DB3" w:rsidRDefault="003D1358" w:rsidP="003D1358">
            <w:pPr>
              <w:suppressLineNumbers/>
              <w:spacing w:after="120"/>
              <w:rPr>
                <w:b/>
                <w:bCs/>
                <w:rtl/>
              </w:rPr>
            </w:pPr>
            <w:r>
              <w:rPr>
                <w:rFonts w:ascii="David" w:hAnsi="David" w:hint="cs"/>
                <w:b/>
                <w:bCs/>
                <w:sz w:val="26"/>
                <w:szCs w:val="26"/>
                <w:rtl/>
              </w:rPr>
              <w:t xml:space="preserve">    </w:t>
            </w:r>
            <w:r>
              <w:rPr>
                <w:rFonts w:ascii="David" w:hAnsi="David"/>
                <w:b/>
                <w:bCs/>
                <w:sz w:val="26"/>
                <w:szCs w:val="26"/>
                <w:rtl/>
              </w:rPr>
              <w:t>ע"י ב"כ עו"ד כרמל מזוז</w:t>
            </w:r>
          </w:p>
          <w:p w:rsidR="003D1358" w:rsidRDefault="003D1358">
            <w:pPr>
              <w:suppressLineNumbers/>
              <w:rPr>
                <w:b/>
                <w:bCs/>
                <w:rtl/>
              </w:rPr>
            </w:pPr>
          </w:p>
          <w:p w:rsidR="000D0DB3" w:rsidRDefault="00F55703" w:rsidP="008C6DAF">
            <w:pPr>
              <w:suppressLineNumbers/>
              <w:spacing w:line="360" w:lineRule="auto"/>
              <w:rPr>
                <w:rFonts w:ascii="David" w:eastAsia="David" w:hAnsi="David"/>
                <w:b/>
                <w:bCs/>
                <w:rtl/>
              </w:rPr>
            </w:pPr>
            <w:r w:rsidRPr="003D1358">
              <w:rPr>
                <w:b/>
                <w:bCs/>
                <w:sz w:val="26"/>
                <w:szCs w:val="26"/>
                <w:rtl/>
              </w:rPr>
              <w:t xml:space="preserve">2. </w:t>
            </w:r>
            <w:sdt>
              <w:sdtPr>
                <w:rPr>
                  <w:b/>
                  <w:bCs/>
                  <w:sz w:val="26"/>
                  <w:szCs w:val="26"/>
                  <w:rtl/>
                </w:rPr>
                <w:alias w:val="1266"/>
                <w:tag w:val="1266"/>
                <w:id w:val="-761758604"/>
                <w:placeholder>
                  <w:docPart w:val="B733ED5D5A724ED0B06E3D6586625A84"/>
                </w:placeholder>
                <w:text w:multiLine="1"/>
              </w:sdtPr>
              <w:sdtEndPr/>
              <w:sdtContent>
                <w:r w:rsidRPr="003D1358">
                  <w:rPr>
                    <w:rFonts w:ascii="David" w:eastAsia="David" w:hAnsi="David"/>
                    <w:b/>
                    <w:bCs/>
                    <w:sz w:val="26"/>
                    <w:szCs w:val="26"/>
                    <w:rtl/>
                  </w:rPr>
                  <w:t>מדינת ישראל – רשות האוכלוסין וההגירה</w:t>
                </w:r>
                <w:r w:rsidR="003D1358">
                  <w:rPr>
                    <w:b/>
                    <w:bCs/>
                    <w:sz w:val="26"/>
                    <w:szCs w:val="26"/>
                    <w:rtl/>
                  </w:rPr>
                  <w:br/>
                </w:r>
                <w:r w:rsidR="008C6DAF">
                  <w:rPr>
                    <w:rFonts w:hint="cs"/>
                    <w:b/>
                    <w:bCs/>
                    <w:sz w:val="26"/>
                    <w:szCs w:val="26"/>
                    <w:rtl/>
                  </w:rPr>
                  <w:t xml:space="preserve">    באמצעות פרקליטות מחוז חיפה - אזרחי</w:t>
                </w:r>
              </w:sdtContent>
            </w:sdt>
            <w:r>
              <w:rPr>
                <w:rFonts w:hint="cs"/>
                <w:b/>
                <w:bCs/>
                <w:rtl/>
              </w:rPr>
              <w:t xml:space="preserve"> </w:t>
            </w:r>
          </w:p>
        </w:tc>
      </w:tr>
    </w:tbl>
    <w:p w:rsidR="000D0DB3" w:rsidRDefault="00843F0A" w:rsidP="000D0DB3">
      <w:pPr>
        <w:jc w:val="both"/>
        <w:rPr>
          <w:rFonts w:ascii="David" w:eastAsia="David" w:hAnsi="David"/>
          <w:rtl/>
        </w:rPr>
      </w:pPr>
    </w:p>
    <w:p w:rsidR="001434F7" w:rsidRPr="000D0DB3" w:rsidRDefault="00843F0A" w:rsidP="000D0DB3"/>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AF37B2" w:rsidRDefault="00AF37B2" w:rsidP="00683C0C">
      <w:pPr>
        <w:spacing w:before="120" w:after="120" w:line="360" w:lineRule="auto"/>
        <w:ind w:left="720" w:hanging="720"/>
        <w:jc w:val="both"/>
        <w:rPr>
          <w:rFonts w:ascii="David" w:hAnsi="David"/>
          <w:noProof w:val="0"/>
        </w:rPr>
      </w:pPr>
      <w:bookmarkStart w:id="1" w:name="NGCSBookmark"/>
      <w:bookmarkEnd w:id="1"/>
      <w:r>
        <w:rPr>
          <w:rFonts w:ascii="David" w:hAnsi="David"/>
          <w:rtl/>
        </w:rPr>
        <w:t>1.</w:t>
      </w:r>
      <w:r>
        <w:rPr>
          <w:rFonts w:ascii="David" w:hAnsi="David"/>
          <w:rtl/>
        </w:rPr>
        <w:tab/>
        <w:t xml:space="preserve">עסקינן בערעור על פסק דינו של בית משפט לענייני משפחה בחדרה (כב' השופטת הדס גולדקורן) בתמ"ש 42043-01-20 מיום 4.6.2024, במסגרתו נדחתה התובענה קמא, להוכחת אבהות המנוח, </w:t>
      </w:r>
      <w:r w:rsidR="00683C0C">
        <w:rPr>
          <w:rFonts w:ascii="David" w:hAnsi="David" w:hint="cs"/>
          <w:rtl/>
        </w:rPr>
        <w:t xml:space="preserve">נ. ס </w:t>
      </w:r>
      <w:r>
        <w:rPr>
          <w:rFonts w:ascii="David" w:hAnsi="David"/>
          <w:rtl/>
        </w:rPr>
        <w:t xml:space="preserve">ז"ל (להלן: </w:t>
      </w:r>
      <w:r>
        <w:rPr>
          <w:rFonts w:ascii="David" w:hAnsi="David"/>
          <w:b/>
          <w:bCs/>
          <w:rtl/>
        </w:rPr>
        <w:t>"המנוח"</w:t>
      </w:r>
      <w:r>
        <w:rPr>
          <w:rFonts w:ascii="David" w:hAnsi="David"/>
          <w:rtl/>
        </w:rPr>
        <w:t xml:space="preserve">), על המערער. </w:t>
      </w:r>
    </w:p>
    <w:p w:rsidR="00AF37B2" w:rsidRDefault="00AF37B2" w:rsidP="00AF37B2">
      <w:pPr>
        <w:spacing w:before="120" w:after="120" w:line="360" w:lineRule="auto"/>
        <w:ind w:left="720" w:hanging="720"/>
        <w:jc w:val="both"/>
        <w:rPr>
          <w:rFonts w:ascii="David" w:hAnsi="David"/>
          <w:rtl/>
        </w:rPr>
      </w:pPr>
      <w:r>
        <w:rPr>
          <w:rFonts w:ascii="David" w:hAnsi="David"/>
          <w:rtl/>
        </w:rPr>
        <w:t>2.</w:t>
      </w:r>
      <w:r>
        <w:rPr>
          <w:rFonts w:ascii="David" w:hAnsi="David"/>
          <w:rtl/>
        </w:rPr>
        <w:tab/>
        <w:t>נקדים ונציין כי התובענה קמא הוגשה על ידי אמו של המערער (מאחר שהיה קטין בעת הגשתה), נגד אמו של המנוח ויורשתו היחידה לפי צו ירושה מיום 30.6.2019. בעת הגשת הערעור דנן, בגר המערער ולכן הגיש את הערעור בשמו.</w:t>
      </w:r>
    </w:p>
    <w:p w:rsidR="00AF37B2" w:rsidRDefault="00AF37B2" w:rsidP="00AF37B2">
      <w:pPr>
        <w:spacing w:before="120" w:after="120" w:line="360" w:lineRule="auto"/>
        <w:jc w:val="both"/>
        <w:rPr>
          <w:rFonts w:ascii="David" w:hAnsi="David"/>
          <w:rtl/>
        </w:rPr>
      </w:pPr>
    </w:p>
    <w:p w:rsidR="00AF37B2" w:rsidRDefault="00AF37B2" w:rsidP="00AF37B2">
      <w:pPr>
        <w:spacing w:before="120" w:after="120" w:line="360" w:lineRule="auto"/>
        <w:jc w:val="both"/>
        <w:rPr>
          <w:rFonts w:ascii="David" w:hAnsi="David"/>
          <w:u w:val="single"/>
          <w:rtl/>
        </w:rPr>
      </w:pPr>
      <w:r>
        <w:rPr>
          <w:rFonts w:ascii="David" w:hAnsi="David"/>
          <w:b/>
          <w:bCs/>
          <w:u w:val="single"/>
          <w:rtl/>
        </w:rPr>
        <w:t xml:space="preserve">רקע בקצרה כעולה מפסק הדין קמא </w:t>
      </w:r>
    </w:p>
    <w:p w:rsidR="00AF37B2" w:rsidRDefault="00AF37B2" w:rsidP="00AF37B2">
      <w:pPr>
        <w:spacing w:before="120" w:after="120" w:line="360" w:lineRule="auto"/>
        <w:ind w:left="720" w:hanging="720"/>
        <w:jc w:val="both"/>
        <w:rPr>
          <w:rFonts w:ascii="David" w:hAnsi="David"/>
          <w:rtl/>
        </w:rPr>
      </w:pPr>
      <w:r>
        <w:rPr>
          <w:rFonts w:ascii="David" w:hAnsi="David"/>
          <w:rtl/>
        </w:rPr>
        <w:t>3.</w:t>
      </w:r>
      <w:r>
        <w:rPr>
          <w:rFonts w:ascii="David" w:hAnsi="David"/>
          <w:rtl/>
        </w:rPr>
        <w:tab/>
        <w:t xml:space="preserve">התביעה קמא הוגשה על ידי אם המערער, שאז היה קטין (להלן: </w:t>
      </w:r>
      <w:r>
        <w:rPr>
          <w:rFonts w:ascii="David" w:hAnsi="David"/>
          <w:b/>
          <w:bCs/>
          <w:rtl/>
        </w:rPr>
        <w:t>"האמא"</w:t>
      </w:r>
      <w:r>
        <w:rPr>
          <w:rFonts w:ascii="David" w:hAnsi="David"/>
          <w:rtl/>
        </w:rPr>
        <w:t xml:space="preserve">), כנגד אמו של המנוח, שהינה היורשת היחידה שלו על פי צו ירושה מיום 30.6.19. </w:t>
      </w:r>
    </w:p>
    <w:p w:rsidR="00AF37B2" w:rsidRDefault="00AF37B2" w:rsidP="00AF37B2">
      <w:pPr>
        <w:spacing w:before="120" w:after="120" w:line="360" w:lineRule="auto"/>
        <w:ind w:left="720"/>
        <w:jc w:val="both"/>
        <w:rPr>
          <w:rFonts w:ascii="David" w:hAnsi="David"/>
          <w:rtl/>
        </w:rPr>
      </w:pPr>
      <w:r>
        <w:rPr>
          <w:rFonts w:ascii="David" w:hAnsi="David"/>
          <w:rtl/>
        </w:rPr>
        <w:t xml:space="preserve">בעבר הגישה האמא שתי תביעות כנגד המנוח, כשעוד היה בחייו – תביעת אבהות ותביעה למשמורת הקטין/המערער, אשר נמחקו בגין חוסר מעש של האמא. בנוסף, האמא הגישה נגד המנוח תביעת </w:t>
      </w:r>
      <w:r>
        <w:rPr>
          <w:rFonts w:ascii="David" w:hAnsi="David"/>
          <w:rtl/>
        </w:rPr>
        <w:lastRenderedPageBreak/>
        <w:t xml:space="preserve">מזונות, במסגרתה הגיעה לידי הסכמה עם המנוח, לפיה המנוח ישלם דמי מזונות עבור הקטין בסך של 1,400 ₪ בחודש. </w:t>
      </w:r>
    </w:p>
    <w:p w:rsidR="00AF37B2" w:rsidRDefault="00AF37B2" w:rsidP="00AF37B2">
      <w:pPr>
        <w:spacing w:before="120" w:after="120" w:line="360" w:lineRule="auto"/>
        <w:ind w:left="720" w:hanging="720"/>
        <w:jc w:val="both"/>
        <w:rPr>
          <w:rFonts w:ascii="David" w:hAnsi="David"/>
          <w:rtl/>
        </w:rPr>
      </w:pPr>
      <w:r>
        <w:rPr>
          <w:rFonts w:ascii="David" w:hAnsi="David"/>
          <w:rtl/>
        </w:rPr>
        <w:t>4.</w:t>
      </w:r>
      <w:r>
        <w:rPr>
          <w:rFonts w:ascii="David" w:hAnsi="David"/>
          <w:rtl/>
        </w:rPr>
        <w:tab/>
        <w:t>בכתב התביעה קמא טענה האמא, כי טובת הקטין/המערער מחייבת את רישומו של המנוח כאביו. בידיה ראיות אובייקטיביות להוכחת הקשר הזוגי עם המנוח טרם לידת הקטין ואף לאחריה, לרבות תצהירים של המנוח ומקורבים לזוג, וכן הסכמת המנוח לתשלום מזונות הקטין. כמו כן, המערער נקרא במקור על שם אביו של המנוח, הוא התייחס אליו כבנו והתגורר עמו בשנותיו הראשונות.</w:t>
      </w:r>
    </w:p>
    <w:p w:rsidR="00AF37B2" w:rsidRDefault="00AF37B2" w:rsidP="00AF37B2">
      <w:pPr>
        <w:spacing w:before="120" w:after="120" w:line="360" w:lineRule="auto"/>
        <w:ind w:left="720" w:hanging="720"/>
        <w:jc w:val="both"/>
        <w:rPr>
          <w:rFonts w:ascii="David" w:hAnsi="David"/>
          <w:rtl/>
        </w:rPr>
      </w:pPr>
      <w:r>
        <w:rPr>
          <w:rFonts w:ascii="David" w:hAnsi="David"/>
          <w:rtl/>
        </w:rPr>
        <w:t>5.</w:t>
      </w:r>
      <w:r>
        <w:rPr>
          <w:rFonts w:ascii="David" w:hAnsi="David"/>
          <w:rtl/>
        </w:rPr>
        <w:tab/>
        <w:t xml:space="preserve">ב"כ היועמ"ש בעמדתו בתביעה קמא טען, כי תחילה יש לבדוק האם קיימת דגימה של רקמות המנוח. ככל שיש דגימה כזאת, יש לבצע את הבדיקה מול האמא, המערער והדגימה של המנוח. באם לא תמצא דגימה לביצוע הבדיקה, יש לצרף להליך את אחיו של המנוח (שכן ניתן לבצע את בדיקת הרקמות רק עם קרוב משפחה שהוא זכר. היות שאביו של המנוח נפטר, יש לבצע את הבדיקה מול אחיו). </w:t>
      </w:r>
    </w:p>
    <w:p w:rsidR="00AF37B2" w:rsidRDefault="00AF37B2" w:rsidP="00AF37B2">
      <w:pPr>
        <w:spacing w:before="120" w:after="120" w:line="360" w:lineRule="auto"/>
        <w:ind w:left="720" w:hanging="720"/>
        <w:jc w:val="both"/>
        <w:rPr>
          <w:rFonts w:ascii="David" w:hAnsi="David"/>
          <w:rtl/>
        </w:rPr>
      </w:pPr>
      <w:r>
        <w:rPr>
          <w:rFonts w:ascii="David" w:hAnsi="David"/>
          <w:rtl/>
        </w:rPr>
        <w:t>6.</w:t>
      </w:r>
      <w:r>
        <w:rPr>
          <w:rFonts w:ascii="David" w:hAnsi="David"/>
          <w:rtl/>
        </w:rPr>
        <w:tab/>
        <w:t xml:space="preserve">בעקבות עמדת ב"כ היועמ"ש, ולאחר שלא נמצאה דגימת </w:t>
      </w:r>
      <w:r>
        <w:rPr>
          <w:rFonts w:ascii="David" w:hAnsi="David"/>
        </w:rPr>
        <w:t>DNA</w:t>
      </w:r>
      <w:r>
        <w:rPr>
          <w:rFonts w:ascii="David" w:hAnsi="David"/>
          <w:rtl/>
        </w:rPr>
        <w:t xml:space="preserve"> של המנוח, בוצעה בדיקת רקמות לאחיו של המנוח, לאחר שנתקבלה הסכמתו. ביום 22.4.21 התקבלו תוצאות בדיקת סיווג הרקמות, מהן עולה כי לא ניתן לקבוע כי האב המנוח הינו אביו הביולוגי של המערער.</w:t>
      </w:r>
    </w:p>
    <w:p w:rsidR="00AF37B2" w:rsidRDefault="00AF37B2" w:rsidP="00AF37B2">
      <w:pPr>
        <w:spacing w:before="120" w:after="120" w:line="360" w:lineRule="auto"/>
        <w:ind w:left="720" w:hanging="720"/>
        <w:jc w:val="both"/>
        <w:rPr>
          <w:rFonts w:ascii="David" w:hAnsi="David"/>
          <w:rtl/>
        </w:rPr>
      </w:pPr>
      <w:r>
        <w:rPr>
          <w:rFonts w:ascii="David" w:hAnsi="David"/>
          <w:rtl/>
        </w:rPr>
        <w:t>7.</w:t>
      </w:r>
      <w:r>
        <w:rPr>
          <w:rFonts w:ascii="David" w:hAnsi="David"/>
          <w:rtl/>
        </w:rPr>
        <w:tab/>
        <w:t xml:space="preserve">לאור ממצאי הבדיקה, התובעת עתרה להוצאת גופת המנוח מהקבר, ולחלופין להורות על ביצוע בדיקת רקמות לקרובי משפחה נוספים של המנוח (אמו ושתי אחיותיו). </w:t>
      </w:r>
    </w:p>
    <w:p w:rsidR="00AF37B2" w:rsidRDefault="00AF37B2" w:rsidP="00AF37B2">
      <w:pPr>
        <w:spacing w:before="120" w:after="120" w:line="360" w:lineRule="auto"/>
        <w:ind w:left="720"/>
        <w:jc w:val="both"/>
        <w:rPr>
          <w:rFonts w:ascii="David" w:hAnsi="David"/>
          <w:rtl/>
        </w:rPr>
      </w:pPr>
      <w:r>
        <w:rPr>
          <w:rFonts w:ascii="David" w:hAnsi="David"/>
          <w:rtl/>
        </w:rPr>
        <w:t xml:space="preserve">לאחר קבלת הסכמות אם המנוח ואחיותיו, בוצעה בדיקת רקמות נוספת. מדו"ח ממצאי הבדיקה מיום 7.5.2023 עלה, כי הקטין אינו מתאים להיות אחיין של אחיו של המנוח, ואיננו מתאים להיות נכדה של אם המנוח. </w:t>
      </w:r>
    </w:p>
    <w:p w:rsidR="00AF37B2" w:rsidRDefault="00AF37B2" w:rsidP="00C5051B">
      <w:pPr>
        <w:spacing w:before="120" w:after="120" w:line="360" w:lineRule="auto"/>
        <w:ind w:left="720"/>
        <w:jc w:val="both"/>
        <w:rPr>
          <w:rFonts w:ascii="David" w:hAnsi="David"/>
          <w:rtl/>
        </w:rPr>
      </w:pPr>
      <w:r>
        <w:rPr>
          <w:rFonts w:ascii="David" w:hAnsi="David"/>
          <w:rtl/>
        </w:rPr>
        <w:t xml:space="preserve">לאחר קבלת תוצאות בדיקת הרקמות, נעתר בית משפט קמא לבקשת האמא, לביצוע עיבוד סטטיסטי של תוצאות הבדיקה על ידי סטטיסטיקאי גנטיקאי מוסמך במעבדה לסיווג רקמות. למנוח לא היו דגימות </w:t>
      </w:r>
      <w:r>
        <w:rPr>
          <w:rFonts w:ascii="David" w:hAnsi="David"/>
        </w:rPr>
        <w:t>DNA</w:t>
      </w:r>
      <w:r>
        <w:rPr>
          <w:rFonts w:ascii="David" w:hAnsi="David"/>
          <w:rtl/>
        </w:rPr>
        <w:t xml:space="preserve">  או ביופסיות בביה"ח </w:t>
      </w:r>
      <w:r w:rsidR="00C5051B">
        <w:rPr>
          <w:rFonts w:ascii="David" w:hAnsi="David" w:hint="cs"/>
          <w:rtl/>
        </w:rPr>
        <w:t>...</w:t>
      </w:r>
      <w:r>
        <w:rPr>
          <w:rFonts w:ascii="David" w:hAnsi="David"/>
          <w:rtl/>
        </w:rPr>
        <w:t xml:space="preserve"> (מקום פטירתו) ולכן הבדיקה הסטטיסטית לא התקיימה, שכן נמסר לתובעת כי כפי הנראה תוצאותיה לא ישנו את הממצאים הקיימים. </w:t>
      </w:r>
    </w:p>
    <w:p w:rsidR="00AF37B2" w:rsidRDefault="00AF37B2" w:rsidP="00AF37B2">
      <w:pPr>
        <w:spacing w:before="120" w:after="120" w:line="360" w:lineRule="auto"/>
        <w:ind w:left="720" w:hanging="720"/>
        <w:jc w:val="both"/>
        <w:rPr>
          <w:rFonts w:ascii="David" w:hAnsi="David"/>
          <w:rtl/>
        </w:rPr>
      </w:pPr>
      <w:r>
        <w:rPr>
          <w:rFonts w:ascii="David" w:hAnsi="David"/>
          <w:rtl/>
        </w:rPr>
        <w:t>8.</w:t>
      </w:r>
      <w:r>
        <w:rPr>
          <w:rFonts w:ascii="David" w:hAnsi="David"/>
          <w:rtl/>
        </w:rPr>
        <w:tab/>
        <w:t xml:space="preserve">ביום 17.4.24 דחה בית משפט קמא את בקשת האמא, להוצאת גופת המנוח מהקבר, לאחר שעיין בנימוקי הבקשה ובנימוקי התנגדות אמו של המנוח וב"כ היועמ"ש. האמא הגישה בר"ע על ההחלטה, שנדחתה. </w:t>
      </w:r>
    </w:p>
    <w:p w:rsidR="00AF37B2" w:rsidRDefault="00AF37B2" w:rsidP="00AF37B2">
      <w:pPr>
        <w:spacing w:before="120" w:after="120" w:line="360" w:lineRule="auto"/>
        <w:ind w:left="720"/>
        <w:jc w:val="both"/>
        <w:rPr>
          <w:rFonts w:ascii="David" w:hAnsi="David"/>
          <w:rtl/>
        </w:rPr>
      </w:pPr>
      <w:r>
        <w:rPr>
          <w:rFonts w:ascii="David" w:hAnsi="David"/>
          <w:rtl/>
        </w:rPr>
        <w:t>לאור דחיית הבקשה הנ"ל, הגישה אמו של המנוח בקשה למתן פס"ד, הדוחה את התביעה להכרה במערער כבנו הביולוגי של המנוח. האמא אף היא הגישה בקשה למתן פס"ד, על מנת שלא לעכב את הליך הערעור בביהמ"ש המחוזי.</w:t>
      </w:r>
    </w:p>
    <w:p w:rsidR="00AF37B2" w:rsidRDefault="00AF37B2" w:rsidP="00AF37B2">
      <w:pPr>
        <w:spacing w:after="120" w:line="360" w:lineRule="auto"/>
        <w:jc w:val="both"/>
        <w:rPr>
          <w:rFonts w:ascii="David" w:hAnsi="David"/>
          <w:b/>
          <w:bCs/>
          <w:u w:val="single"/>
          <w:rtl/>
        </w:rPr>
      </w:pPr>
    </w:p>
    <w:p w:rsidR="00AF37B2" w:rsidRDefault="00AF37B2" w:rsidP="00AF37B2">
      <w:pPr>
        <w:spacing w:after="120" w:line="360" w:lineRule="auto"/>
        <w:jc w:val="both"/>
        <w:rPr>
          <w:rFonts w:ascii="David" w:hAnsi="David"/>
          <w:b/>
          <w:bCs/>
          <w:u w:val="single"/>
          <w:rtl/>
        </w:rPr>
      </w:pPr>
      <w:r>
        <w:rPr>
          <w:rFonts w:ascii="David" w:hAnsi="David"/>
          <w:b/>
          <w:bCs/>
          <w:u w:val="single"/>
          <w:rtl/>
        </w:rPr>
        <w:t>פסק הדין קמא</w:t>
      </w:r>
    </w:p>
    <w:p w:rsidR="00AF37B2" w:rsidRDefault="00AF37B2" w:rsidP="00AF37B2">
      <w:pPr>
        <w:spacing w:after="120" w:line="360" w:lineRule="auto"/>
        <w:ind w:left="720" w:hanging="720"/>
        <w:jc w:val="both"/>
        <w:rPr>
          <w:rFonts w:ascii="David" w:hAnsi="David"/>
          <w:rtl/>
        </w:rPr>
      </w:pPr>
      <w:r>
        <w:rPr>
          <w:rFonts w:ascii="David" w:hAnsi="David"/>
          <w:rtl/>
        </w:rPr>
        <w:t>9.</w:t>
      </w:r>
      <w:r>
        <w:rPr>
          <w:rFonts w:ascii="David" w:hAnsi="David"/>
          <w:rtl/>
        </w:rPr>
        <w:tab/>
        <w:t>בית המשפט קמא דחה את התביעה קמא, בהעדר הוכחת אבהותו של המנוח ביחס למערער.</w:t>
      </w:r>
    </w:p>
    <w:p w:rsidR="00AF37B2" w:rsidRDefault="00AF37B2" w:rsidP="00AF37B2">
      <w:pPr>
        <w:spacing w:after="120" w:line="360" w:lineRule="auto"/>
        <w:ind w:left="720" w:hanging="720"/>
        <w:jc w:val="both"/>
        <w:rPr>
          <w:rFonts w:ascii="David" w:hAnsi="David"/>
          <w:rtl/>
        </w:rPr>
      </w:pPr>
      <w:r>
        <w:rPr>
          <w:rFonts w:ascii="David" w:hAnsi="David"/>
          <w:rtl/>
        </w:rPr>
        <w:lastRenderedPageBreak/>
        <w:t>10.</w:t>
      </w:r>
      <w:r>
        <w:rPr>
          <w:rFonts w:ascii="David" w:hAnsi="David"/>
          <w:rtl/>
        </w:rPr>
        <w:tab/>
        <w:t xml:space="preserve">הדגיש בית משפט קמא, כי בהליך זה בוצעו בדיקות רקמות עם אחיו של המנוח, אמו ואחיותיו. משילוב כל הבדיקות נמצא כי אין זה סביר שהמנוח הוא אביו של המערער. </w:t>
      </w:r>
    </w:p>
    <w:p w:rsidR="00AF37B2" w:rsidRDefault="00AF37B2" w:rsidP="00AF37B2">
      <w:pPr>
        <w:spacing w:after="120" w:line="360" w:lineRule="auto"/>
        <w:ind w:left="720" w:hanging="720"/>
        <w:jc w:val="both"/>
        <w:rPr>
          <w:rFonts w:ascii="David" w:hAnsi="David"/>
          <w:rtl/>
        </w:rPr>
      </w:pPr>
      <w:r>
        <w:rPr>
          <w:rFonts w:ascii="David" w:hAnsi="David"/>
          <w:rtl/>
        </w:rPr>
        <w:t>11.</w:t>
      </w:r>
      <w:r>
        <w:rPr>
          <w:rFonts w:ascii="David" w:hAnsi="David"/>
          <w:rtl/>
        </w:rPr>
        <w:tab/>
        <w:t xml:space="preserve">לאור ממצאים אלו, בין היתר, אשר מלמדים כי אין סיכוי סביר לקשר הנטען על ידי האמא, נדחתה אף בקשתה לפתיחת קברו של המנוח. </w:t>
      </w:r>
    </w:p>
    <w:p w:rsidR="00AF37B2" w:rsidRDefault="00AF37B2" w:rsidP="00AF37B2">
      <w:pPr>
        <w:spacing w:after="120" w:line="360" w:lineRule="auto"/>
        <w:ind w:left="720" w:hanging="720"/>
        <w:jc w:val="both"/>
        <w:rPr>
          <w:rFonts w:ascii="David" w:hAnsi="David"/>
          <w:rtl/>
        </w:rPr>
      </w:pPr>
      <w:r>
        <w:rPr>
          <w:rFonts w:ascii="David" w:hAnsi="David"/>
          <w:rtl/>
        </w:rPr>
        <w:t>12.</w:t>
      </w:r>
      <w:r>
        <w:rPr>
          <w:rFonts w:ascii="David" w:hAnsi="David"/>
          <w:rtl/>
        </w:rPr>
        <w:tab/>
        <w:t>בהתאם להלכה הפסוקה תביעת אבהות היא תביעה אזרחית, בה מידת ההוכחה הדרושה היא על פי מאזן הסתברויות.</w:t>
      </w:r>
    </w:p>
    <w:p w:rsidR="00AF37B2" w:rsidRDefault="00AF37B2" w:rsidP="00AF37B2">
      <w:pPr>
        <w:spacing w:after="120" w:line="360" w:lineRule="auto"/>
        <w:ind w:left="720"/>
        <w:jc w:val="both"/>
        <w:rPr>
          <w:rFonts w:ascii="David" w:hAnsi="David"/>
          <w:rtl/>
        </w:rPr>
      </w:pPr>
      <w:r>
        <w:rPr>
          <w:rFonts w:ascii="David" w:hAnsi="David"/>
          <w:rtl/>
        </w:rPr>
        <w:t xml:space="preserve">בדיקת סיווג הרקמות היא הדרך המהימנה ביותר לקביעת אבהות. היא מאפשרת מידת ודאות גבוהה ביחס לקשר הביולוגי והיא הראיה הטובה ביותר. </w:t>
      </w:r>
    </w:p>
    <w:p w:rsidR="00AF37B2" w:rsidRDefault="00AF37B2" w:rsidP="00AF37B2">
      <w:pPr>
        <w:spacing w:after="120" w:line="360" w:lineRule="auto"/>
        <w:ind w:left="720"/>
        <w:jc w:val="both"/>
        <w:rPr>
          <w:rFonts w:ascii="David" w:hAnsi="David"/>
          <w:rtl/>
        </w:rPr>
      </w:pPr>
      <w:r>
        <w:rPr>
          <w:rFonts w:ascii="David" w:hAnsi="David"/>
          <w:rtl/>
        </w:rPr>
        <w:t>למרות זאת דרך הוכחה זו אינה גורעת מהזכות של בעלי הדין לנסות ולהוכיח את טענותיהם העובדתיות בדרך אחרת, ואינה גורעת מיכולתו של בית המשפט לקבוע ממצאים על יסוד תשתית ראייתית שמובאת לפניו שאינה כוללת תוצאות של בדיקת רקמות, בשים לב להשלכות של "כלל הראיה הטובה ביותר". ככל שבית המשפט משתכנע, על בסיס תשתית זו, כי האב הנטען הוא אכן האב הביולוגי, אין מניעה כי בית המשפט יצהיר על האבהות.</w:t>
      </w:r>
    </w:p>
    <w:p w:rsidR="00AF37B2" w:rsidRDefault="00AF37B2" w:rsidP="00AF37B2">
      <w:pPr>
        <w:spacing w:after="120" w:line="360" w:lineRule="auto"/>
        <w:ind w:left="720" w:hanging="720"/>
        <w:jc w:val="both"/>
        <w:rPr>
          <w:rFonts w:ascii="David" w:hAnsi="David"/>
          <w:rtl/>
        </w:rPr>
      </w:pPr>
      <w:r>
        <w:rPr>
          <w:rFonts w:ascii="David" w:hAnsi="David"/>
          <w:rtl/>
        </w:rPr>
        <w:t>13.</w:t>
      </w:r>
      <w:r>
        <w:rPr>
          <w:rFonts w:ascii="David" w:hAnsi="David"/>
          <w:rtl/>
        </w:rPr>
        <w:tab/>
      </w:r>
      <w:r>
        <w:rPr>
          <w:rFonts w:ascii="David" w:hAnsi="David"/>
          <w:u w:val="single"/>
          <w:rtl/>
        </w:rPr>
        <w:t>במקרה דנן האמא צירפה לכתב התביעה את המסמכים הבאים</w:t>
      </w:r>
      <w:r>
        <w:rPr>
          <w:rFonts w:ascii="David" w:hAnsi="David"/>
          <w:rtl/>
        </w:rPr>
        <w:t>:</w:t>
      </w:r>
    </w:p>
    <w:p w:rsidR="00AF37B2" w:rsidRDefault="00AF37B2" w:rsidP="00AF37B2">
      <w:pPr>
        <w:spacing w:after="120" w:line="360" w:lineRule="auto"/>
        <w:ind w:left="720"/>
        <w:jc w:val="both"/>
        <w:rPr>
          <w:rFonts w:ascii="David" w:hAnsi="David"/>
          <w:rtl/>
        </w:rPr>
      </w:pPr>
      <w:r>
        <w:rPr>
          <w:rFonts w:ascii="David" w:hAnsi="David"/>
          <w:rtl/>
        </w:rPr>
        <w:t>העתק כתב תביעת אבהות שהגישה כנגד המנוח בחייו;</w:t>
      </w:r>
      <w:r>
        <w:rPr>
          <w:rFonts w:ascii="David" w:hAnsi="David"/>
          <w:rtl/>
        </w:rPr>
        <w:tab/>
      </w:r>
    </w:p>
    <w:p w:rsidR="00AF37B2" w:rsidRDefault="00AF37B2" w:rsidP="00AF37B2">
      <w:pPr>
        <w:spacing w:after="120" w:line="360" w:lineRule="auto"/>
        <w:ind w:left="720"/>
        <w:jc w:val="both"/>
        <w:rPr>
          <w:rFonts w:ascii="David" w:hAnsi="David"/>
          <w:rtl/>
        </w:rPr>
      </w:pPr>
      <w:r>
        <w:rPr>
          <w:rFonts w:ascii="David" w:hAnsi="David"/>
          <w:rtl/>
        </w:rPr>
        <w:t>פרוטוקול דיון בתביעת אבהות מיום 22.12.09 במסגרתו הסכים המנוח לביצוע בדיקת רקמות;</w:t>
      </w:r>
    </w:p>
    <w:p w:rsidR="00AF37B2" w:rsidRDefault="00AF37B2" w:rsidP="00AF37B2">
      <w:pPr>
        <w:spacing w:after="120" w:line="360" w:lineRule="auto"/>
        <w:ind w:left="720"/>
        <w:jc w:val="both"/>
        <w:rPr>
          <w:rFonts w:ascii="David" w:hAnsi="David"/>
          <w:rtl/>
        </w:rPr>
      </w:pPr>
      <w:r>
        <w:rPr>
          <w:rFonts w:ascii="David" w:hAnsi="David"/>
          <w:rtl/>
        </w:rPr>
        <w:t>הודעה מביה"ח רמב"ם על היעדר התייצבות המנוח לבדיקות;</w:t>
      </w:r>
    </w:p>
    <w:p w:rsidR="00AF37B2" w:rsidRDefault="00AF37B2" w:rsidP="00AF37B2">
      <w:pPr>
        <w:spacing w:after="120" w:line="360" w:lineRule="auto"/>
        <w:ind w:left="720"/>
        <w:jc w:val="both"/>
        <w:rPr>
          <w:rFonts w:ascii="David" w:hAnsi="David"/>
          <w:rtl/>
        </w:rPr>
      </w:pPr>
      <w:r>
        <w:rPr>
          <w:rFonts w:ascii="David" w:hAnsi="David"/>
          <w:rtl/>
        </w:rPr>
        <w:t>בקשה למתן פסק דין בתביעת האבהות;</w:t>
      </w:r>
    </w:p>
    <w:p w:rsidR="00AF37B2" w:rsidRDefault="00AF37B2" w:rsidP="00AF37B2">
      <w:pPr>
        <w:spacing w:after="120" w:line="360" w:lineRule="auto"/>
        <w:ind w:left="720"/>
        <w:jc w:val="both"/>
        <w:rPr>
          <w:rFonts w:ascii="David" w:hAnsi="David"/>
          <w:rtl/>
        </w:rPr>
      </w:pPr>
      <w:r>
        <w:rPr>
          <w:rFonts w:ascii="David" w:hAnsi="David"/>
          <w:rtl/>
        </w:rPr>
        <w:t>העתק כתב תביעת מזונות שהגישה כנגד המנוח בחייו;</w:t>
      </w:r>
    </w:p>
    <w:p w:rsidR="00AF37B2" w:rsidRDefault="00AF37B2" w:rsidP="00AF37B2">
      <w:pPr>
        <w:spacing w:after="120" w:line="360" w:lineRule="auto"/>
        <w:ind w:left="720"/>
        <w:jc w:val="both"/>
        <w:rPr>
          <w:rFonts w:ascii="David" w:hAnsi="David"/>
          <w:rtl/>
        </w:rPr>
      </w:pPr>
      <w:r>
        <w:rPr>
          <w:rFonts w:ascii="David" w:hAnsi="David"/>
          <w:rtl/>
        </w:rPr>
        <w:t>פרוטוקול הדיון מיום 17.12.08 במסגרתו הסכימו הצדדים על חיוב המנוח בדמי מזונות הקטין/המערער;</w:t>
      </w:r>
    </w:p>
    <w:p w:rsidR="00AF37B2" w:rsidRDefault="00AF37B2" w:rsidP="00AF37B2">
      <w:pPr>
        <w:spacing w:after="120" w:line="360" w:lineRule="auto"/>
        <w:ind w:left="720"/>
        <w:jc w:val="both"/>
        <w:rPr>
          <w:rFonts w:ascii="David" w:hAnsi="David"/>
          <w:rtl/>
        </w:rPr>
      </w:pPr>
      <w:r>
        <w:rPr>
          <w:rFonts w:ascii="David" w:hAnsi="David"/>
          <w:rtl/>
        </w:rPr>
        <w:t xml:space="preserve">תצהיר המנוח מיום 27.2.08 במסגרתו הצהיר כי הקטין/המערער בנו. </w:t>
      </w:r>
    </w:p>
    <w:p w:rsidR="00AF37B2" w:rsidRDefault="00AF37B2" w:rsidP="00AF37B2">
      <w:pPr>
        <w:spacing w:after="120" w:line="360" w:lineRule="auto"/>
        <w:ind w:left="720" w:hanging="720"/>
        <w:jc w:val="both"/>
        <w:rPr>
          <w:rFonts w:ascii="David" w:hAnsi="David"/>
          <w:rtl/>
        </w:rPr>
      </w:pPr>
      <w:r>
        <w:rPr>
          <w:rFonts w:ascii="David" w:hAnsi="David"/>
          <w:rtl/>
        </w:rPr>
        <w:t>14.</w:t>
      </w:r>
      <w:r>
        <w:rPr>
          <w:rFonts w:ascii="David" w:hAnsi="David"/>
          <w:rtl/>
        </w:rPr>
        <w:tab/>
        <w:t xml:space="preserve">ציין בית משפט קמא, כי לאחר שעיין באסמכתאות הנ"ל שהמציאה האמא, הוא לא שוכנע כי ניתן להצהיר על בסיסן, כי האב המנוח הוא אכן האב הביולוגי של המערער. </w:t>
      </w:r>
    </w:p>
    <w:p w:rsidR="00AF37B2" w:rsidRDefault="00AF37B2" w:rsidP="00AF37B2">
      <w:pPr>
        <w:spacing w:after="120" w:line="360" w:lineRule="auto"/>
        <w:ind w:left="720" w:hanging="720"/>
        <w:jc w:val="both"/>
        <w:rPr>
          <w:rFonts w:ascii="David" w:hAnsi="David"/>
          <w:rtl/>
        </w:rPr>
      </w:pPr>
      <w:r>
        <w:rPr>
          <w:rFonts w:ascii="David" w:hAnsi="David"/>
          <w:rtl/>
        </w:rPr>
        <w:t>15.</w:t>
      </w:r>
      <w:r>
        <w:rPr>
          <w:rFonts w:ascii="David" w:hAnsi="David"/>
          <w:rtl/>
        </w:rPr>
        <w:tab/>
        <w:t xml:space="preserve">הדגיש בית משפט קמא, כי אמנם האמא הגישה תביעת אבהות (בשנת 2008) נגד המנוח בעודו בחיים, אך היא לא עמדה על תביעתה וזו נמחקה מחוסר מעש. </w:t>
      </w:r>
    </w:p>
    <w:p w:rsidR="00AF37B2" w:rsidRDefault="00AF37B2" w:rsidP="00AF37B2">
      <w:pPr>
        <w:spacing w:after="120" w:line="360" w:lineRule="auto"/>
        <w:ind w:left="720"/>
        <w:jc w:val="both"/>
        <w:rPr>
          <w:rFonts w:ascii="David" w:hAnsi="David"/>
          <w:rtl/>
        </w:rPr>
      </w:pPr>
      <w:r>
        <w:rPr>
          <w:rFonts w:ascii="David" w:hAnsi="David"/>
          <w:rtl/>
        </w:rPr>
        <w:t xml:space="preserve">אף בתביעת המזונות, במסגרתה הסכימו הצדדים כי המנוח ישלם דמי מזונות עבור הקטין/המערער, ובתצהיר שהגיש המנוח במסגרתו עתר לפריסת חוב המזונות, תוך שהצהיר כי הקטין בנו, אין כדי להוות ראיות לקיומו של קשר ביולוגי בין המנוח לבין הקטין/המערער, ובפרט שהמנוח לא נרשם או הוכר במרשם האוכלוסין כאביו של המערער. </w:t>
      </w:r>
    </w:p>
    <w:p w:rsidR="00AF37B2" w:rsidRDefault="00AF37B2" w:rsidP="00AF37B2">
      <w:pPr>
        <w:spacing w:after="120" w:line="360" w:lineRule="auto"/>
        <w:ind w:left="720" w:hanging="720"/>
        <w:jc w:val="both"/>
        <w:rPr>
          <w:rFonts w:ascii="David" w:hAnsi="David"/>
          <w:rtl/>
        </w:rPr>
      </w:pPr>
      <w:r>
        <w:rPr>
          <w:rFonts w:ascii="David" w:hAnsi="David"/>
          <w:rtl/>
        </w:rPr>
        <w:lastRenderedPageBreak/>
        <w:t>16.</w:t>
      </w:r>
      <w:r>
        <w:rPr>
          <w:rFonts w:ascii="David" w:hAnsi="David"/>
          <w:rtl/>
        </w:rPr>
        <w:tab/>
        <w:t>לנוכח כל הנ"ל, ומשלא הוכח קשר האבהות הנטען, דחה בית משפט קמא את התביעה קמא.</w:t>
      </w:r>
    </w:p>
    <w:p w:rsidR="00AF37B2" w:rsidRDefault="00AF37B2" w:rsidP="00AF37B2">
      <w:pPr>
        <w:spacing w:after="120" w:line="360" w:lineRule="auto"/>
        <w:ind w:left="720" w:hanging="720"/>
        <w:jc w:val="both"/>
        <w:rPr>
          <w:rFonts w:ascii="David" w:hAnsi="David"/>
          <w:rtl/>
        </w:rPr>
      </w:pPr>
    </w:p>
    <w:p w:rsidR="00AF37B2" w:rsidRDefault="00AF37B2" w:rsidP="00AF37B2">
      <w:pPr>
        <w:spacing w:after="120" w:line="360" w:lineRule="auto"/>
        <w:jc w:val="both"/>
        <w:rPr>
          <w:rFonts w:ascii="David" w:hAnsi="David"/>
          <w:b/>
          <w:bCs/>
          <w:u w:val="single"/>
          <w:rtl/>
        </w:rPr>
      </w:pPr>
      <w:r>
        <w:rPr>
          <w:rFonts w:ascii="David" w:hAnsi="David"/>
          <w:b/>
          <w:bCs/>
          <w:u w:val="single"/>
          <w:rtl/>
        </w:rPr>
        <w:t>טענות המערער בכתב הערעור</w:t>
      </w:r>
    </w:p>
    <w:p w:rsidR="00AF37B2" w:rsidRDefault="00AF37B2" w:rsidP="00AF37B2">
      <w:pPr>
        <w:spacing w:after="120" w:line="360" w:lineRule="auto"/>
        <w:ind w:left="708" w:hanging="708"/>
        <w:jc w:val="both"/>
        <w:rPr>
          <w:rFonts w:ascii="David" w:hAnsi="David"/>
          <w:rtl/>
        </w:rPr>
      </w:pPr>
      <w:r>
        <w:rPr>
          <w:rFonts w:ascii="David" w:hAnsi="David"/>
          <w:rtl/>
        </w:rPr>
        <w:t>17.</w:t>
      </w:r>
      <w:r>
        <w:rPr>
          <w:rFonts w:ascii="David" w:hAnsi="David"/>
          <w:rtl/>
        </w:rPr>
        <w:tab/>
      </w:r>
      <w:r>
        <w:rPr>
          <w:rFonts w:ascii="David" w:hAnsi="David"/>
          <w:u w:val="single"/>
          <w:rtl/>
        </w:rPr>
        <w:t>להלן תמצית טענות המערער בכתב הערעור</w:t>
      </w:r>
      <w:r>
        <w:rPr>
          <w:rFonts w:ascii="David" w:hAnsi="David"/>
          <w:rtl/>
        </w:rPr>
        <w:t>:</w:t>
      </w:r>
    </w:p>
    <w:p w:rsidR="00AF37B2" w:rsidRDefault="00AF37B2" w:rsidP="00AF37B2">
      <w:pPr>
        <w:spacing w:after="120" w:line="360" w:lineRule="auto"/>
        <w:ind w:left="1417" w:hanging="709"/>
        <w:jc w:val="both"/>
        <w:rPr>
          <w:rFonts w:ascii="David" w:hAnsi="David"/>
          <w:rtl/>
        </w:rPr>
      </w:pPr>
      <w:r>
        <w:rPr>
          <w:rFonts w:ascii="David" w:hAnsi="David"/>
          <w:rtl/>
        </w:rPr>
        <w:t>א.</w:t>
      </w:r>
      <w:r>
        <w:rPr>
          <w:rFonts w:ascii="David" w:hAnsi="David"/>
          <w:rtl/>
        </w:rPr>
        <w:tab/>
        <w:t>שגה בית משפט קמא כשהתעלם מסירוב המנוח לבצע בדיקת רקמות בחייו, ללא כל הסבר או נימוק. די בסירוב זה כדי לקבל את התביעה קמא לסעד הצהרתי, כי המנוח הוא אביו של המערער. לחילופין, לאפשר למערער להוכיח את אבהות המנוח בראיות, על סמך הראיות שהוצגו בתיק קמא.</w:t>
      </w:r>
    </w:p>
    <w:p w:rsidR="00AF37B2" w:rsidRDefault="00AF37B2" w:rsidP="00AF37B2">
      <w:pPr>
        <w:spacing w:after="120" w:line="360" w:lineRule="auto"/>
        <w:ind w:left="1417" w:hanging="709"/>
        <w:jc w:val="both"/>
        <w:rPr>
          <w:rFonts w:ascii="David" w:hAnsi="David"/>
          <w:rtl/>
        </w:rPr>
      </w:pPr>
      <w:r>
        <w:rPr>
          <w:rFonts w:ascii="David" w:hAnsi="David"/>
          <w:rtl/>
        </w:rPr>
        <w:t>ב.</w:t>
      </w:r>
      <w:r>
        <w:rPr>
          <w:rFonts w:ascii="David" w:hAnsi="David"/>
          <w:rtl/>
        </w:rPr>
        <w:tab/>
        <w:t>כן התעלם בית משפט קמא מהסכמת המנוח לשלם מזונות עבור המערער בהיותו קטין; הסכמת המנוח קיבלה תוקף של החלטה. ככל שהמנוח לא היה סובר בזמן אמת כי המערער הינו בנו, לא היה מסכים לשלם מזונות עבור המערער.</w:t>
      </w:r>
    </w:p>
    <w:p w:rsidR="00AF37B2" w:rsidRDefault="00AF37B2" w:rsidP="00AF37B2">
      <w:pPr>
        <w:spacing w:after="120" w:line="360" w:lineRule="auto"/>
        <w:ind w:left="1417" w:hanging="709"/>
        <w:jc w:val="both"/>
        <w:rPr>
          <w:rFonts w:ascii="David" w:hAnsi="David"/>
          <w:rtl/>
        </w:rPr>
      </w:pPr>
      <w:r>
        <w:rPr>
          <w:rFonts w:ascii="David" w:hAnsi="David"/>
          <w:rtl/>
        </w:rPr>
        <w:t>ג.</w:t>
      </w:r>
      <w:r>
        <w:rPr>
          <w:rFonts w:ascii="David" w:hAnsi="David"/>
          <w:rtl/>
        </w:rPr>
        <w:tab/>
        <w:t xml:space="preserve">התעלם בית משפט קמא מתצהיר עליו חתם המנוח ביום 27.2.2018, במסגרתו הצהיר כי הוא אבי המערער. כן הוצהר והוסכם שהמערער יישא את שם אביו של המנוח. אף הוצהר כי עד שנת 2009 התגורר המנוח יחד עם המערער ואמו, והמנוח עבד ופרנס את כולם. </w:t>
      </w:r>
    </w:p>
    <w:p w:rsidR="00AF37B2" w:rsidRDefault="00AF37B2" w:rsidP="00AF37B2">
      <w:pPr>
        <w:spacing w:after="120" w:line="360" w:lineRule="auto"/>
        <w:ind w:left="1417" w:hanging="709"/>
        <w:jc w:val="both"/>
        <w:rPr>
          <w:rFonts w:ascii="David" w:hAnsi="David"/>
          <w:rtl/>
        </w:rPr>
      </w:pPr>
      <w:r>
        <w:rPr>
          <w:rFonts w:ascii="David" w:hAnsi="David"/>
          <w:rtl/>
        </w:rPr>
        <w:t>ד.</w:t>
      </w:r>
      <w:r>
        <w:rPr>
          <w:rFonts w:ascii="David" w:hAnsi="David"/>
          <w:rtl/>
        </w:rPr>
        <w:tab/>
        <w:t xml:space="preserve">בסיכום תוצאות בדיקת הרקמות שנערכה ביום 6.4.2021, נכתב כי לא ניתן לקבוע האם המנוח הוא אביו הביולוגי של המערער. לפיכך, לא ניתן לשלול את אבהות המנוח על המערער, ולכן יש לזקוף את תוצאת הבדיקה כראיה נוספת התומכת בתביעה קמא. </w:t>
      </w:r>
    </w:p>
    <w:p w:rsidR="00AF37B2" w:rsidRDefault="00AF37B2" w:rsidP="00AF37B2">
      <w:pPr>
        <w:spacing w:after="120" w:line="360" w:lineRule="auto"/>
        <w:ind w:left="1417" w:hanging="709"/>
        <w:jc w:val="both"/>
        <w:rPr>
          <w:rFonts w:ascii="David" w:hAnsi="David"/>
          <w:rtl/>
        </w:rPr>
      </w:pPr>
      <w:r>
        <w:rPr>
          <w:rFonts w:ascii="David" w:hAnsi="David"/>
          <w:rtl/>
        </w:rPr>
        <w:t>ה.</w:t>
      </w:r>
      <w:r>
        <w:rPr>
          <w:rFonts w:ascii="David" w:hAnsi="David"/>
          <w:rtl/>
        </w:rPr>
        <w:tab/>
        <w:t>ההחלטה קמא מיום 17.4.2024, שדחתה את בקשת המערער לפתיחת קברו של המנוח לשם ביצוע בדיקת רקמות שגויה, ואף לא נומקה כלל. לכן, לחילופין, יש להורות על פתיחת קברו של המנוח לצורך ביצוע בדיקת אבהות גנטית כלפי המערער.</w:t>
      </w:r>
    </w:p>
    <w:p w:rsidR="00AF37B2" w:rsidRDefault="00AF37B2" w:rsidP="00AF37B2">
      <w:pPr>
        <w:spacing w:after="120" w:line="360" w:lineRule="auto"/>
        <w:ind w:left="1417" w:hanging="709"/>
        <w:jc w:val="both"/>
        <w:rPr>
          <w:rFonts w:ascii="David" w:hAnsi="David"/>
          <w:rtl/>
        </w:rPr>
      </w:pPr>
      <w:r>
        <w:rPr>
          <w:rFonts w:ascii="David" w:hAnsi="David"/>
          <w:rtl/>
        </w:rPr>
        <w:t>ו.</w:t>
      </w:r>
      <w:r>
        <w:rPr>
          <w:rFonts w:ascii="David" w:hAnsi="David"/>
          <w:rtl/>
        </w:rPr>
        <w:tab/>
        <w:t>זכותו של הילד – במקרה זה המערער – לדעת מיהו אביו, עסקינן בזכות יסוד. עקרון העל המנחה את בתי המשפט לענייני משפחה הוא טובת הילד, וזה לא נשקל מספיק בתיק קמא.</w:t>
      </w:r>
    </w:p>
    <w:p w:rsidR="00AF37B2" w:rsidRDefault="00AF37B2" w:rsidP="00AF37B2">
      <w:pPr>
        <w:spacing w:after="120" w:line="360" w:lineRule="auto"/>
        <w:ind w:left="567" w:hanging="567"/>
        <w:jc w:val="both"/>
        <w:rPr>
          <w:rFonts w:ascii="David" w:hAnsi="David"/>
          <w:rtl/>
        </w:rPr>
      </w:pPr>
    </w:p>
    <w:p w:rsidR="00AF37B2" w:rsidRDefault="00AF37B2" w:rsidP="00AF37B2">
      <w:pPr>
        <w:spacing w:after="120" w:line="360" w:lineRule="auto"/>
        <w:ind w:left="567" w:hanging="567"/>
        <w:jc w:val="both"/>
        <w:rPr>
          <w:rFonts w:ascii="David" w:hAnsi="David"/>
          <w:b/>
          <w:bCs/>
          <w:u w:val="single"/>
          <w:rtl/>
        </w:rPr>
      </w:pPr>
      <w:r>
        <w:rPr>
          <w:rFonts w:ascii="David" w:hAnsi="David"/>
          <w:b/>
          <w:bCs/>
          <w:u w:val="single"/>
          <w:rtl/>
        </w:rPr>
        <w:t>טענות המשיבים בכתב התשובה</w:t>
      </w:r>
    </w:p>
    <w:p w:rsidR="00AF37B2" w:rsidRDefault="00AF37B2" w:rsidP="00AF37B2">
      <w:pPr>
        <w:spacing w:after="120" w:line="360" w:lineRule="auto"/>
        <w:ind w:left="708" w:hanging="708"/>
        <w:jc w:val="both"/>
        <w:rPr>
          <w:rFonts w:ascii="David" w:hAnsi="David"/>
          <w:rtl/>
        </w:rPr>
      </w:pPr>
      <w:r>
        <w:rPr>
          <w:rFonts w:ascii="David" w:hAnsi="David"/>
          <w:rtl/>
        </w:rPr>
        <w:t>18.</w:t>
      </w:r>
      <w:r>
        <w:rPr>
          <w:rFonts w:ascii="David" w:hAnsi="David"/>
          <w:rtl/>
        </w:rPr>
        <w:tab/>
        <w:t>מטעם משיב 1 לא התקבל כתב תשובה לערעור דנן.</w:t>
      </w:r>
    </w:p>
    <w:p w:rsidR="00AF37B2" w:rsidRDefault="00AF37B2" w:rsidP="00AF37B2">
      <w:pPr>
        <w:spacing w:after="120" w:line="360" w:lineRule="auto"/>
        <w:ind w:left="708" w:hanging="708"/>
        <w:jc w:val="both"/>
        <w:rPr>
          <w:rFonts w:ascii="David" w:hAnsi="David"/>
          <w:rtl/>
        </w:rPr>
      </w:pPr>
    </w:p>
    <w:p w:rsidR="00AF37B2" w:rsidRDefault="00AF37B2" w:rsidP="00AF37B2">
      <w:pPr>
        <w:spacing w:after="120" w:line="360" w:lineRule="auto"/>
        <w:ind w:left="708" w:hanging="708"/>
        <w:jc w:val="both"/>
        <w:rPr>
          <w:rFonts w:ascii="David" w:hAnsi="David"/>
          <w:rtl/>
        </w:rPr>
      </w:pPr>
      <w:r>
        <w:rPr>
          <w:rFonts w:ascii="David" w:hAnsi="David"/>
          <w:rtl/>
        </w:rPr>
        <w:t>19.</w:t>
      </w:r>
      <w:r>
        <w:rPr>
          <w:rFonts w:ascii="David" w:hAnsi="David"/>
          <w:rtl/>
        </w:rPr>
        <w:tab/>
      </w:r>
      <w:r>
        <w:rPr>
          <w:rFonts w:ascii="David" w:hAnsi="David"/>
          <w:u w:val="single"/>
          <w:rtl/>
        </w:rPr>
        <w:t>משיבה 2 הגישה כתב תשובה לערעור, במסגרתו ביקשה לדחות את הערעור. להלן תמצית טענותיה</w:t>
      </w:r>
      <w:r>
        <w:rPr>
          <w:rFonts w:ascii="David" w:hAnsi="David"/>
          <w:rtl/>
        </w:rPr>
        <w:t>:</w:t>
      </w:r>
    </w:p>
    <w:p w:rsidR="00AF37B2" w:rsidRDefault="00AF37B2" w:rsidP="00AF37B2">
      <w:pPr>
        <w:spacing w:after="120" w:line="360" w:lineRule="auto"/>
        <w:ind w:left="1417" w:hanging="709"/>
        <w:jc w:val="both"/>
        <w:rPr>
          <w:rFonts w:ascii="David" w:hAnsi="David"/>
          <w:rtl/>
        </w:rPr>
      </w:pPr>
      <w:r>
        <w:rPr>
          <w:rFonts w:ascii="David" w:hAnsi="David"/>
          <w:rtl/>
        </w:rPr>
        <w:t>א.</w:t>
      </w:r>
      <w:r>
        <w:rPr>
          <w:rFonts w:ascii="David" w:hAnsi="David"/>
          <w:rtl/>
        </w:rPr>
        <w:tab/>
        <w:t xml:space="preserve">בהתאם לפסיקה, בדיקה גנטית מהווה את האמצעי הטוב והאמין ביותר לקביעת אבהות, ועל כן משמשת כ"דרך המלך" להכרעה בבקשות לקביעת אבהות. בהקשר זה נפסק, כי הבדיקה </w:t>
      </w:r>
      <w:r>
        <w:rPr>
          <w:rFonts w:ascii="David" w:hAnsi="David"/>
          <w:rtl/>
        </w:rPr>
        <w:lastRenderedPageBreak/>
        <w:t>הגנטית מהווה כיום האמצעי המדעי, הטוב והיעיל ביותר לקביעת הורות, שכן המדובר בראייה עצמאית ואובייקטיבית.</w:t>
      </w:r>
    </w:p>
    <w:p w:rsidR="00AF37B2" w:rsidRDefault="00AF37B2" w:rsidP="00AF37B2">
      <w:pPr>
        <w:spacing w:after="120" w:line="360" w:lineRule="auto"/>
        <w:ind w:left="1417" w:hanging="709"/>
        <w:jc w:val="both"/>
        <w:rPr>
          <w:rFonts w:ascii="David" w:hAnsi="David"/>
          <w:rtl/>
        </w:rPr>
      </w:pPr>
      <w:r>
        <w:rPr>
          <w:rFonts w:ascii="David" w:hAnsi="David"/>
          <w:rtl/>
        </w:rPr>
        <w:t>ב.</w:t>
      </w:r>
      <w:r>
        <w:rPr>
          <w:rFonts w:ascii="David" w:hAnsi="David"/>
          <w:rtl/>
        </w:rPr>
        <w:tab/>
        <w:t>נטל ההוכחה בתובענה שהוגשה לבית המשפט קמא היה מוטל על המערער ואמו (כאשר תבעה בשמו כשהיה קטין). המערער ואמו לא עמדו בנטל להוכיח כי המנוח היה אביו של המערער. ההיפך הוא הנכון. הבדיקה הגנטית הראשונה לא הוכיחה את קשר האבהות הנטען, והבדיקה הגנטית השניה קבעה כי אין סבירות שהמערער הוא בנו של המנוח. צדק בית המשפט קמא לפיכך בדחייתו את התביעה, משהנטען בה לא הוכח, ואף הוכח כי אין בסיס לטענת האבהות הנטענת.</w:t>
      </w:r>
    </w:p>
    <w:p w:rsidR="00AF37B2" w:rsidRDefault="00AF37B2" w:rsidP="00AF37B2">
      <w:pPr>
        <w:spacing w:after="120" w:line="360" w:lineRule="auto"/>
        <w:ind w:left="1417" w:hanging="709"/>
        <w:jc w:val="both"/>
        <w:rPr>
          <w:rFonts w:ascii="David" w:hAnsi="David"/>
          <w:rtl/>
        </w:rPr>
      </w:pPr>
      <w:r>
        <w:rPr>
          <w:rFonts w:ascii="David" w:hAnsi="David"/>
          <w:rtl/>
        </w:rPr>
        <w:t>ג.</w:t>
      </w:r>
      <w:r>
        <w:rPr>
          <w:rFonts w:ascii="David" w:hAnsi="David"/>
          <w:rtl/>
        </w:rPr>
        <w:tab/>
        <w:t xml:space="preserve">אשר לטענת המערער, כי המנוח הסכים בעבר (במסגרת תמ"ש 2461-08) לשלם מזונות לקטין עד לבירור שאלת האבהות בבדיקה גנטית, שלא בוצעה בסופו של דבר - לנוכח תוצאות הבדיקה הגנטית, בה הוצג המצב הראייתי הידוע כיום, אין בהתנהגותו זו של המנוח משום תרומה למארג הראיות לטענות המערער. מאחר שהעובדות המדעיות הידועות כיום, מלמדות כי המנוח אינו אביו הביולוגי של המערער, הרי שלכל היותר ניתן להסיק מהתנהגות המנוח המתוארת, שהמנוח טעה לחשוב שהוא אביו הביולוגי של המערער. </w:t>
      </w:r>
    </w:p>
    <w:p w:rsidR="00AF37B2" w:rsidRDefault="00AF37B2" w:rsidP="00AF37B2">
      <w:pPr>
        <w:spacing w:after="120" w:line="360" w:lineRule="auto"/>
        <w:ind w:left="1417"/>
        <w:jc w:val="both"/>
        <w:rPr>
          <w:rFonts w:ascii="David" w:hAnsi="David"/>
          <w:rtl/>
        </w:rPr>
      </w:pPr>
      <w:r>
        <w:rPr>
          <w:rFonts w:ascii="David" w:hAnsi="David"/>
          <w:rtl/>
        </w:rPr>
        <w:t>לחילופין סבר המנוח שיש סיכוי שהוא אביו הביולוגי של המערער, סיכוי שיש להוכיחו, דבר שלא נעשה בחייו. לנוכח תוצאות הבדיקה המדעית, ברי כי המנוח לא היה אביו הביולוגי של המערער, גם אם הסכים זמנית לשלם לו מזונות, וגם אם תוכח טענת האמא כי המנוח היה בקשר עם המערער, והניח כי הוא בנו.</w:t>
      </w:r>
    </w:p>
    <w:p w:rsidR="00AF37B2" w:rsidRDefault="00AF37B2" w:rsidP="00AF37B2">
      <w:pPr>
        <w:spacing w:after="120" w:line="360" w:lineRule="auto"/>
        <w:ind w:left="1417" w:hanging="709"/>
        <w:jc w:val="both"/>
        <w:rPr>
          <w:rFonts w:ascii="David" w:hAnsi="David"/>
          <w:rtl/>
        </w:rPr>
      </w:pPr>
      <w:r>
        <w:rPr>
          <w:rFonts w:ascii="David" w:hAnsi="David"/>
          <w:rtl/>
        </w:rPr>
        <w:t>ד.</w:t>
      </w:r>
      <w:r>
        <w:rPr>
          <w:rFonts w:ascii="David" w:hAnsi="David"/>
          <w:rtl/>
        </w:rPr>
        <w:tab/>
        <w:t>גם אם יתכנו מקרים בהם תוכח אבהות שלא באמצעות בדיקה גנטית, אלא על סמך ראיות, הדבר אינו רלוונטי למקרה דנן. מדובר במקרים בהם לא מבוצעת בדיקה גנטית, ולא במקרה כמו זה, בו בוצעה בדיקה גנטית שתוצאותיה הן, שאין סבירות לאבהות הנטענת. כך, לא רק שהראיות שהוגשו, אינן ראיות אובייקטיביות על קיום תא משפחתי, אלא לכל היותר ראיות על מה ששיער המנוח. ראיות אלה גם עומדות בסתירה לראיה מדעית, שנקבע בפסיקה שהיא האמצעי הטוב והאמין ביותר לקביעת אבהות, ועל כן משמשת כדרך המלך להכרעה בבקשות לקביעת אבהות.</w:t>
      </w:r>
    </w:p>
    <w:p w:rsidR="00AF37B2" w:rsidRDefault="00AF37B2" w:rsidP="00AF37B2">
      <w:pPr>
        <w:spacing w:after="120" w:line="360" w:lineRule="auto"/>
        <w:ind w:left="1417" w:hanging="709"/>
        <w:jc w:val="both"/>
        <w:rPr>
          <w:rFonts w:ascii="David" w:hAnsi="David"/>
          <w:rtl/>
        </w:rPr>
      </w:pPr>
      <w:r>
        <w:rPr>
          <w:rFonts w:ascii="David" w:hAnsi="David"/>
          <w:rtl/>
        </w:rPr>
        <w:t>ה.</w:t>
      </w:r>
      <w:r>
        <w:rPr>
          <w:rFonts w:ascii="David" w:hAnsi="David"/>
          <w:rtl/>
        </w:rPr>
        <w:tab/>
        <w:t xml:space="preserve">לעניין הראיות שהגיש המערער לבית המשפט קמא, שכל עניינם סברת המנוח כי המערער הוא בנו, הרי לא היה די בהן גם לפני ביצוע הבדיקה הגנטית; מאחר שעל פי ההלכה הפסוקה, אפילו אם הצדדים מסכימים ומצהירים על אבהות, אין די בכך, ויש צורך בהוכחת האבהות. </w:t>
      </w:r>
    </w:p>
    <w:p w:rsidR="00AF37B2" w:rsidRDefault="00AF37B2" w:rsidP="00AF37B2">
      <w:pPr>
        <w:spacing w:after="120" w:line="360" w:lineRule="auto"/>
        <w:ind w:left="1417" w:hanging="709"/>
        <w:jc w:val="both"/>
        <w:rPr>
          <w:rFonts w:ascii="David" w:hAnsi="David"/>
          <w:rtl/>
        </w:rPr>
      </w:pPr>
      <w:r>
        <w:rPr>
          <w:rFonts w:ascii="David" w:hAnsi="David"/>
          <w:rtl/>
        </w:rPr>
        <w:t>ו.</w:t>
      </w:r>
      <w:r>
        <w:rPr>
          <w:rFonts w:ascii="David" w:hAnsi="David"/>
          <w:rtl/>
        </w:rPr>
        <w:tab/>
        <w:t>טענת המערער כי המנוח סרב לבצע בדיקה גנטית, בשונה מאי הגעה לבדיקה מטעמים טכניים, תמוהה, לנוכח הסכמתו לשלם באופן זמני מזונות עד לבירור אבהותו. מכל מקום, לא היה ניתן לקבוע על בסיס סירוב זה כי הוא אבי המנוח, לא בעת שנוהלו ההליכים הקודמים. ולראיה קביעה כזו גם לא ניתנה במסגרת הליכים אלו, וקל וחומר לא כיום, לנוכח תוצאות הבדיקות הגנטיות.</w:t>
      </w:r>
    </w:p>
    <w:p w:rsidR="00AF37B2" w:rsidRDefault="00AF37B2" w:rsidP="00AF37B2">
      <w:pPr>
        <w:spacing w:after="120" w:line="360" w:lineRule="auto"/>
        <w:ind w:left="1417" w:hanging="709"/>
        <w:jc w:val="both"/>
        <w:rPr>
          <w:rFonts w:ascii="David" w:hAnsi="David"/>
          <w:rtl/>
        </w:rPr>
      </w:pPr>
      <w:r>
        <w:rPr>
          <w:rFonts w:ascii="David" w:hAnsi="David"/>
          <w:rtl/>
        </w:rPr>
        <w:lastRenderedPageBreak/>
        <w:t>ז.</w:t>
      </w:r>
      <w:r>
        <w:rPr>
          <w:rFonts w:ascii="David" w:hAnsi="David"/>
          <w:rtl/>
        </w:rPr>
        <w:tab/>
        <w:t>ההתנהגות הנטענת של המנוח ביחס למערער, גם אם הייתה מוכחת, לא היה בה כדי לשנות את המציאות העובדתית הביולוגית, הידועה כיום, לפיה הוא אינו אביו הביולוגי.</w:t>
      </w:r>
    </w:p>
    <w:p w:rsidR="00AF37B2" w:rsidRDefault="00AF37B2" w:rsidP="00AF37B2">
      <w:pPr>
        <w:spacing w:after="120" w:line="360" w:lineRule="auto"/>
        <w:ind w:left="1417" w:hanging="709"/>
        <w:jc w:val="both"/>
        <w:rPr>
          <w:rFonts w:ascii="David" w:hAnsi="David"/>
          <w:rtl/>
        </w:rPr>
      </w:pPr>
      <w:r>
        <w:rPr>
          <w:rFonts w:ascii="David" w:hAnsi="David"/>
          <w:rtl/>
        </w:rPr>
        <w:t>ח.</w:t>
      </w:r>
      <w:r>
        <w:rPr>
          <w:rFonts w:ascii="David" w:hAnsi="David"/>
          <w:rtl/>
        </w:rPr>
        <w:tab/>
        <w:t>יש לדחות את טענת המערער כי יש לקבוע את האבהות מטעמים של "טובת הילד". עקרון "טובת הילד" נוגע לקטינים, וכי "הילד" בו מדובר בעניין שבפנינו, כלל אינו קטין עוד, אלא בגיר. לא עומדת כיום על הפרק, אם כן, שאלת טובתו של קטין, אלא לכל היותר שאלת אינטרס של בגיר.</w:t>
      </w:r>
    </w:p>
    <w:p w:rsidR="00AF37B2" w:rsidRDefault="00AF37B2" w:rsidP="00AF37B2">
      <w:pPr>
        <w:spacing w:after="120" w:line="360" w:lineRule="auto"/>
        <w:ind w:left="1417" w:hanging="709"/>
        <w:jc w:val="both"/>
        <w:rPr>
          <w:rFonts w:ascii="David" w:hAnsi="David"/>
          <w:rtl/>
        </w:rPr>
      </w:pPr>
      <w:r>
        <w:rPr>
          <w:rFonts w:ascii="David" w:hAnsi="David"/>
          <w:rtl/>
        </w:rPr>
        <w:t>ט.</w:t>
      </w:r>
      <w:r>
        <w:rPr>
          <w:rFonts w:ascii="David" w:hAnsi="David"/>
          <w:rtl/>
        </w:rPr>
        <w:tab/>
        <w:t>בכל הקשור לבקשה לפתיחת קברו של המנוח, צדק בית המשפט קמא בדחותו את בקשת המערער לפתוח את קברו של המנוח. מתוצאות הבדיקות הגנטיות, ובמיוחד הבדיקה הגנטית השנייה עולה, כי אין זה סביר שהמנוח היה אביו של המערער. במקרה דנן, תוצאות הבדיקה הגנטית בבני משפחת המנוח מלמדות כי אין סיכוי סביר לקשר הנטען, ולפיכך לא מתקיים התנאי המקדמי המופיע בסעיף 28 ו(א) לחוק מידע גנטי, תשס"א-2000, לביצוע בדיקה גנטית ללא הסכמה. ההיפך הוא הנכון.</w:t>
      </w:r>
    </w:p>
    <w:p w:rsidR="00AF37B2" w:rsidRDefault="00AF37B2" w:rsidP="00AF37B2">
      <w:pPr>
        <w:spacing w:after="120" w:line="360" w:lineRule="auto"/>
        <w:ind w:left="1417" w:hanging="709"/>
        <w:jc w:val="both"/>
        <w:rPr>
          <w:rFonts w:ascii="David" w:hAnsi="David"/>
          <w:rtl/>
        </w:rPr>
      </w:pPr>
      <w:r>
        <w:rPr>
          <w:rFonts w:ascii="David" w:hAnsi="David"/>
          <w:rtl/>
        </w:rPr>
        <w:t>י.</w:t>
      </w:r>
      <w:r>
        <w:rPr>
          <w:rFonts w:ascii="David" w:hAnsi="David"/>
          <w:rtl/>
        </w:rPr>
        <w:tab/>
        <w:t>לא יעלה על הדעת, כי צעד דרסטי של פתיחת קבר ייעשה, מקום בו התוצאה הצפויה של נטילת דגימות צפויה להיות שלילית, וכאשר משפחתו של המנוח, שעל קשרי המשפחה שלהם אין עוררין, מתנגדת לבקשה. עצם פתיחת קבר, הוצאת ממצאים, ככל שיהיו, נטילת דגימה מהן (אם בכלל יתאפשר) וקבורה מחודשת, הינם צעדים דרסטיים ביותר. מה עוד שסביר שלו היה נפתח הקבר, הוא היה נפתח לחינם, לנוכח תוצאות הבדיקות הגנטיות שנערכו בנדון.</w:t>
      </w:r>
    </w:p>
    <w:p w:rsidR="00AF37B2" w:rsidRDefault="00AF37B2" w:rsidP="00AF37B2">
      <w:pPr>
        <w:spacing w:after="120" w:line="360" w:lineRule="auto"/>
        <w:ind w:left="1417" w:hanging="709"/>
        <w:jc w:val="both"/>
        <w:rPr>
          <w:rFonts w:ascii="David" w:hAnsi="David"/>
          <w:rtl/>
        </w:rPr>
      </w:pPr>
    </w:p>
    <w:p w:rsidR="00AF37B2" w:rsidRDefault="00AF37B2" w:rsidP="00AF37B2">
      <w:pPr>
        <w:spacing w:after="120" w:line="360" w:lineRule="auto"/>
        <w:ind w:left="567" w:hanging="567"/>
        <w:jc w:val="both"/>
        <w:rPr>
          <w:rFonts w:ascii="David" w:hAnsi="David"/>
          <w:b/>
          <w:bCs/>
          <w:u w:val="single"/>
          <w:rtl/>
        </w:rPr>
      </w:pPr>
      <w:r>
        <w:rPr>
          <w:rFonts w:ascii="David" w:hAnsi="David"/>
          <w:b/>
          <w:bCs/>
          <w:u w:val="single"/>
          <w:rtl/>
        </w:rPr>
        <w:t>דיון בערעור ביום 11.11.2024</w:t>
      </w:r>
    </w:p>
    <w:p w:rsidR="00AF37B2" w:rsidRDefault="00AF37B2" w:rsidP="00AF37B2">
      <w:pPr>
        <w:spacing w:after="120" w:line="360" w:lineRule="auto"/>
        <w:ind w:left="708" w:hanging="708"/>
        <w:jc w:val="both"/>
        <w:rPr>
          <w:rFonts w:ascii="David" w:hAnsi="David"/>
          <w:rtl/>
        </w:rPr>
      </w:pPr>
      <w:r>
        <w:rPr>
          <w:rFonts w:ascii="David" w:hAnsi="David"/>
          <w:rtl/>
        </w:rPr>
        <w:t>20.</w:t>
      </w:r>
      <w:r>
        <w:rPr>
          <w:rFonts w:ascii="David" w:hAnsi="David"/>
          <w:rtl/>
        </w:rPr>
        <w:tab/>
        <w:t xml:space="preserve">לדיון התייצבו הצדדים ובאי כוחם. </w:t>
      </w:r>
    </w:p>
    <w:p w:rsidR="00AF37B2" w:rsidRDefault="00AF37B2" w:rsidP="00AF37B2">
      <w:pPr>
        <w:spacing w:after="120" w:line="360" w:lineRule="auto"/>
        <w:ind w:left="708" w:hanging="709"/>
        <w:jc w:val="both"/>
        <w:rPr>
          <w:rFonts w:ascii="David" w:hAnsi="David"/>
          <w:rtl/>
        </w:rPr>
      </w:pPr>
      <w:r>
        <w:rPr>
          <w:rFonts w:ascii="David" w:hAnsi="David"/>
          <w:b/>
          <w:bCs/>
          <w:rtl/>
        </w:rPr>
        <w:tab/>
      </w:r>
      <w:r>
        <w:rPr>
          <w:rFonts w:ascii="David" w:hAnsi="David"/>
          <w:b/>
          <w:bCs/>
          <w:u w:val="single"/>
          <w:rtl/>
        </w:rPr>
        <w:t>ב"כ המערער</w:t>
      </w:r>
      <w:r>
        <w:rPr>
          <w:rFonts w:ascii="David" w:hAnsi="David"/>
          <w:rtl/>
        </w:rPr>
        <w:t>, עו"ד גדלי סולן, חזר על טענותיו מכתב הערעור, והוסיף כי הביא עמו תמונות, המראות לשיטתו על "</w:t>
      </w:r>
      <w:r>
        <w:rPr>
          <w:rFonts w:ascii="David" w:hAnsi="David"/>
          <w:b/>
          <w:bCs/>
          <w:rtl/>
        </w:rPr>
        <w:t>דמיון שאי אפשר לטעות</w:t>
      </w:r>
      <w:r>
        <w:rPr>
          <w:rFonts w:ascii="David" w:hAnsi="David"/>
          <w:rtl/>
        </w:rPr>
        <w:t>" לגבי המנוח והמערער. לעמדתו, המנוח הכיר בילד, כך גם הסבתא/משיבה 1 והמשפחה. המערער גדל עם המנוח באופן פיזי, והמנוח טיפל בו. נעשה כאן עוול.</w:t>
      </w:r>
    </w:p>
    <w:p w:rsidR="00AF37B2" w:rsidRDefault="00AF37B2" w:rsidP="00AF37B2">
      <w:pPr>
        <w:spacing w:after="120" w:line="360" w:lineRule="auto"/>
        <w:ind w:left="708" w:hanging="709"/>
        <w:jc w:val="both"/>
        <w:rPr>
          <w:rFonts w:ascii="David" w:hAnsi="David"/>
          <w:rtl/>
        </w:rPr>
      </w:pPr>
      <w:r>
        <w:rPr>
          <w:rFonts w:ascii="David" w:hAnsi="David"/>
          <w:rtl/>
        </w:rPr>
        <w:tab/>
        <w:t xml:space="preserve">המנוח לא שיתף פעולה בחייו עם בדיקת הרקמות, לא ידוע למה. </w:t>
      </w:r>
    </w:p>
    <w:p w:rsidR="00AF37B2" w:rsidRDefault="00AF37B2" w:rsidP="00AF37B2">
      <w:pPr>
        <w:spacing w:after="120" w:line="360" w:lineRule="auto"/>
        <w:ind w:left="708" w:hanging="709"/>
        <w:jc w:val="both"/>
        <w:rPr>
          <w:rFonts w:ascii="David" w:hAnsi="David"/>
          <w:rtl/>
        </w:rPr>
      </w:pPr>
      <w:r>
        <w:rPr>
          <w:rFonts w:ascii="David" w:hAnsi="David"/>
          <w:rtl/>
        </w:rPr>
        <w:tab/>
        <w:t>ב"כ המערער, עו"ד שרין סולן טענה כי לא יכול להיות שאב הכיר בילד שלו, אך משלא נעשתה הבדיקה בחיי אביו, הילד לא יקבל מה שמגיע לו. לדעתה, ההתנגדות מצד אם המנוח היא אך ורק בשל תאוות בצע. עו"ד סולן הציעה חלוקה של חצי חצי.  בהמשך אף ציינה כי המערער יסכים לוותר על הירושה, אולם עומד על המשך ההליך.</w:t>
      </w:r>
    </w:p>
    <w:p w:rsidR="00AF37B2" w:rsidRDefault="00AF37B2" w:rsidP="00AF37B2">
      <w:pPr>
        <w:spacing w:after="120" w:line="360" w:lineRule="auto"/>
        <w:ind w:left="708" w:hanging="709"/>
        <w:jc w:val="both"/>
        <w:rPr>
          <w:rFonts w:ascii="David" w:hAnsi="David"/>
          <w:rtl/>
        </w:rPr>
      </w:pPr>
      <w:r>
        <w:rPr>
          <w:rFonts w:ascii="David" w:hAnsi="David"/>
          <w:rtl/>
        </w:rPr>
        <w:t>21.</w:t>
      </w:r>
      <w:r>
        <w:rPr>
          <w:rFonts w:ascii="David" w:hAnsi="David"/>
          <w:rtl/>
        </w:rPr>
        <w:tab/>
      </w:r>
      <w:r>
        <w:rPr>
          <w:rFonts w:ascii="David" w:hAnsi="David"/>
          <w:b/>
          <w:bCs/>
          <w:u w:val="single"/>
          <w:rtl/>
        </w:rPr>
        <w:t>ב"כ משיבה 1</w:t>
      </w:r>
      <w:r>
        <w:rPr>
          <w:rFonts w:ascii="David" w:hAnsi="David"/>
          <w:rtl/>
        </w:rPr>
        <w:t xml:space="preserve">, עו"ד כרמל מזוז, טענה כי לדידה, אין כלום בטענות הערעור. הדגישה כי משפחת המנוח היו שמחים לשמוע תשובה אחרת מהבדיקות, שכן למנוח לא היו ילדים. נעשו בדיקות גנטיות על ידי כל בני המשפחה, ומנגד המערער ואמו לא הביאו כל מומחה אחר, לסתירת ממצאי הבדיקות הגנטיות. כל </w:t>
      </w:r>
      <w:r>
        <w:rPr>
          <w:rFonts w:ascii="David" w:hAnsi="David"/>
          <w:rtl/>
        </w:rPr>
        <w:lastRenderedPageBreak/>
        <w:t xml:space="preserve">בדיקה שהתבקשה על ידי האמא בהליך קמא התקבלה בחיוב. המנוח לא ביצע בדיקת אבהות בחייו מאחר שלא היה כסף לממן הבדיקה, הוא היה בהליך של פש"ר. </w:t>
      </w:r>
    </w:p>
    <w:p w:rsidR="00AF37B2" w:rsidRDefault="00AF37B2" w:rsidP="00AF37B2">
      <w:pPr>
        <w:spacing w:after="120" w:line="360" w:lineRule="auto"/>
        <w:ind w:left="708" w:hanging="709"/>
        <w:jc w:val="both"/>
        <w:rPr>
          <w:rFonts w:ascii="David" w:hAnsi="David"/>
          <w:rtl/>
        </w:rPr>
      </w:pPr>
      <w:r>
        <w:rPr>
          <w:rFonts w:ascii="David" w:hAnsi="David"/>
          <w:rtl/>
        </w:rPr>
        <w:tab/>
        <w:t xml:space="preserve">עוד לעמדתה, מכיוון שכל הבדיקות נעשו וצריך לשמור על כבוד המת, אין כל סיבה להורות על פתיחת קברו של המנוח.  </w:t>
      </w:r>
    </w:p>
    <w:p w:rsidR="00AF37B2" w:rsidRDefault="00AF37B2" w:rsidP="00AF37B2">
      <w:pPr>
        <w:spacing w:after="120" w:line="360" w:lineRule="auto"/>
        <w:ind w:left="708" w:hanging="709"/>
        <w:jc w:val="both"/>
        <w:rPr>
          <w:rFonts w:ascii="David" w:hAnsi="David"/>
          <w:rtl/>
        </w:rPr>
      </w:pPr>
      <w:r>
        <w:rPr>
          <w:rFonts w:ascii="David" w:hAnsi="David"/>
          <w:rtl/>
        </w:rPr>
        <w:tab/>
        <w:t>ההליך קמא היה ארוך ומייגע. משפחת המנוח הוציאה כספים רבים, הן בבדיקות הגנטיות והן בהליך משפטי. לכן מבוקש לדחות את הערעור על הסף ולחייב בהוצאות.</w:t>
      </w:r>
    </w:p>
    <w:p w:rsidR="00AF37B2" w:rsidRDefault="00AF37B2" w:rsidP="00AF37B2">
      <w:pPr>
        <w:spacing w:after="120" w:line="360" w:lineRule="auto"/>
        <w:ind w:left="708" w:hanging="709"/>
        <w:jc w:val="both"/>
        <w:rPr>
          <w:rFonts w:ascii="David" w:hAnsi="David"/>
          <w:rtl/>
        </w:rPr>
      </w:pPr>
      <w:r>
        <w:rPr>
          <w:rFonts w:ascii="David" w:hAnsi="David"/>
          <w:rtl/>
        </w:rPr>
        <w:t>22.</w:t>
      </w:r>
      <w:r>
        <w:rPr>
          <w:rFonts w:ascii="David" w:hAnsi="David"/>
          <w:rtl/>
        </w:rPr>
        <w:tab/>
      </w:r>
      <w:r>
        <w:rPr>
          <w:rFonts w:ascii="David" w:hAnsi="David"/>
          <w:b/>
          <w:bCs/>
          <w:u w:val="single"/>
          <w:rtl/>
        </w:rPr>
        <w:t>ב"כ משיב 2</w:t>
      </w:r>
      <w:r>
        <w:rPr>
          <w:rFonts w:ascii="David" w:hAnsi="David"/>
          <w:rtl/>
        </w:rPr>
        <w:t>, עו"ד תמי בראל, חזרה על נימוקי תשובתה, והוסיפה כי הדין בישראל מכיר בארבעה סוגי אבהויות – הורות ביולוגית, הורות גנטית, הורות מכח אימוץ וזיקה לזיקה. הסכמה של צדדים, כבמקרה דנן, אינה תופסת להכרה באבהות.</w:t>
      </w:r>
    </w:p>
    <w:p w:rsidR="00AF37B2" w:rsidRDefault="00AF37B2" w:rsidP="00AF37B2">
      <w:pPr>
        <w:spacing w:after="120" w:line="360" w:lineRule="auto"/>
        <w:jc w:val="both"/>
        <w:rPr>
          <w:rFonts w:ascii="David" w:hAnsi="David"/>
          <w:rtl/>
        </w:rPr>
      </w:pPr>
    </w:p>
    <w:p w:rsidR="00AF37B2" w:rsidRDefault="00AF37B2" w:rsidP="00AF37B2">
      <w:pPr>
        <w:spacing w:after="120" w:line="360" w:lineRule="auto"/>
        <w:jc w:val="both"/>
        <w:rPr>
          <w:rFonts w:ascii="David" w:hAnsi="David"/>
          <w:b/>
          <w:bCs/>
          <w:u w:val="single"/>
          <w:rtl/>
        </w:rPr>
      </w:pPr>
      <w:r>
        <w:rPr>
          <w:rFonts w:ascii="David" w:hAnsi="David"/>
          <w:b/>
          <w:bCs/>
          <w:u w:val="single"/>
          <w:rtl/>
        </w:rPr>
        <w:t>דיון והכרעה</w:t>
      </w:r>
    </w:p>
    <w:p w:rsidR="00AF37B2" w:rsidRDefault="00AF37B2" w:rsidP="00AF37B2">
      <w:pPr>
        <w:spacing w:after="120" w:line="360" w:lineRule="auto"/>
        <w:ind w:left="720" w:hanging="720"/>
        <w:jc w:val="both"/>
        <w:rPr>
          <w:rFonts w:ascii="David" w:hAnsi="David"/>
          <w:b/>
          <w:bCs/>
          <w:rtl/>
        </w:rPr>
      </w:pPr>
      <w:r>
        <w:rPr>
          <w:rFonts w:ascii="David" w:hAnsi="David"/>
          <w:rtl/>
        </w:rPr>
        <w:t>23.</w:t>
      </w:r>
      <w:r>
        <w:rPr>
          <w:rFonts w:ascii="David" w:hAnsi="David"/>
          <w:rtl/>
        </w:rPr>
        <w:tab/>
      </w:r>
      <w:r>
        <w:rPr>
          <w:rFonts w:ascii="David" w:hAnsi="David"/>
          <w:b/>
          <w:bCs/>
          <w:rtl/>
        </w:rPr>
        <w:t>לאחר שעיינו היטב בכתבי הטענות, ושמענו את טיעוני הצדדים בדיון בעל-פה, נחה דעתנו כי אין מקום להתערב בפסק דינו של בית משפט קמא.</w:t>
      </w:r>
    </w:p>
    <w:p w:rsidR="00AF37B2" w:rsidRDefault="00AF37B2" w:rsidP="00AF37B2">
      <w:pPr>
        <w:spacing w:after="120" w:line="360" w:lineRule="auto"/>
        <w:ind w:firstLine="720"/>
        <w:jc w:val="both"/>
        <w:rPr>
          <w:rFonts w:ascii="David" w:hAnsi="David"/>
          <w:rtl/>
        </w:rPr>
      </w:pPr>
      <w:r>
        <w:rPr>
          <w:rFonts w:ascii="David" w:hAnsi="David"/>
          <w:rtl/>
        </w:rPr>
        <w:t xml:space="preserve">לא מצאנו להתערב בממצאיו העובדתיים של בית משפט קמא בפסק הדין; </w:t>
      </w:r>
    </w:p>
    <w:p w:rsidR="00AF37B2" w:rsidRDefault="00AF37B2" w:rsidP="00AF37B2">
      <w:pPr>
        <w:spacing w:after="120" w:line="360" w:lineRule="auto"/>
        <w:ind w:firstLine="720"/>
        <w:jc w:val="both"/>
        <w:rPr>
          <w:rFonts w:ascii="David" w:hAnsi="David"/>
          <w:rtl/>
        </w:rPr>
      </w:pPr>
      <w:r>
        <w:rPr>
          <w:rFonts w:ascii="David" w:hAnsi="David"/>
          <w:rtl/>
        </w:rPr>
        <w:t>מצאנו כי ממצאיו העובדתיים של בית משפט קמא תומכים במסקנה המשפטית אליה הגיע בפסק הדין;</w:t>
      </w:r>
    </w:p>
    <w:p w:rsidR="00AF37B2" w:rsidRDefault="00AF37B2" w:rsidP="00AF37B2">
      <w:pPr>
        <w:spacing w:after="120" w:line="360" w:lineRule="auto"/>
        <w:ind w:firstLine="720"/>
        <w:jc w:val="both"/>
        <w:rPr>
          <w:rFonts w:ascii="David" w:hAnsi="David"/>
          <w:rtl/>
        </w:rPr>
      </w:pPr>
      <w:r>
        <w:rPr>
          <w:rFonts w:ascii="David" w:hAnsi="David"/>
          <w:rtl/>
        </w:rPr>
        <w:t xml:space="preserve">מצאנו כי אין בה במסקנה המשפטית בפסק הדין טעות שבחוק. </w:t>
      </w:r>
    </w:p>
    <w:p w:rsidR="00AF37B2" w:rsidRDefault="00AF37B2" w:rsidP="00AF37B2">
      <w:pPr>
        <w:spacing w:after="120" w:line="360" w:lineRule="auto"/>
        <w:jc w:val="both"/>
        <w:rPr>
          <w:rFonts w:ascii="David" w:hAnsi="David"/>
          <w:rtl/>
        </w:rPr>
      </w:pPr>
      <w:r>
        <w:rPr>
          <w:rFonts w:ascii="David" w:hAnsi="David"/>
          <w:rtl/>
        </w:rPr>
        <w:t>24.</w:t>
      </w:r>
      <w:r>
        <w:rPr>
          <w:rFonts w:ascii="David" w:hAnsi="David"/>
          <w:rtl/>
        </w:rPr>
        <w:tab/>
      </w:r>
      <w:r>
        <w:rPr>
          <w:rFonts w:ascii="David" w:hAnsi="David"/>
          <w:u w:val="single"/>
          <w:rtl/>
        </w:rPr>
        <w:t>נזכיר בנדון שני כללים</w:t>
      </w:r>
      <w:r>
        <w:rPr>
          <w:rFonts w:ascii="David" w:hAnsi="David"/>
          <w:rtl/>
        </w:rPr>
        <w:t>:</w:t>
      </w:r>
    </w:p>
    <w:p w:rsidR="00AF37B2" w:rsidRDefault="00AF37B2" w:rsidP="00AF37B2">
      <w:pPr>
        <w:spacing w:after="120" w:line="360" w:lineRule="auto"/>
        <w:ind w:left="720"/>
        <w:jc w:val="both"/>
        <w:rPr>
          <w:rFonts w:ascii="David" w:hAnsi="David"/>
          <w:rtl/>
        </w:rPr>
      </w:pPr>
      <w:r>
        <w:rPr>
          <w:rFonts w:ascii="David" w:hAnsi="David"/>
          <w:u w:val="single"/>
          <w:rtl/>
        </w:rPr>
        <w:t>הכלל הראשון</w:t>
      </w:r>
      <w:r>
        <w:rPr>
          <w:rFonts w:ascii="David" w:hAnsi="David"/>
          <w:rtl/>
        </w:rPr>
        <w:t xml:space="preserve"> – ערכאת הערעור אינה יושבת בדין כערכאה דיונית. הליך הערעור לא נועד לפתיחתו מחדש של הסכסוך כולו, על כל רבדיו ומחלוקותיו, כאילו מדובר במשפט חדש או במשפט חוזר. תפקידה של ערכאת הערעור הוא לבחון אם הממצאים שנקבעו בפסק הדין מעוגנים בחומר ראיות אמין, אם המסקנות שהוסקו עומדות במבחן ההוכחות, ההיגיון ומכלול הנסיבות, ואם התוצאה מתחייבת מבחינת הוראות הדין החלות על העניין [ע"א 586/84 </w:t>
      </w:r>
      <w:r>
        <w:rPr>
          <w:rFonts w:ascii="David" w:hAnsi="David"/>
          <w:b/>
          <w:bCs/>
          <w:rtl/>
        </w:rPr>
        <w:t>מקלף נ' זילברברג</w:t>
      </w:r>
      <w:r>
        <w:rPr>
          <w:rFonts w:ascii="David" w:hAnsi="David"/>
          <w:rtl/>
        </w:rPr>
        <w:t xml:space="preserve"> (1989); ע"א 8184/12 </w:t>
      </w:r>
      <w:r>
        <w:rPr>
          <w:rFonts w:ascii="David" w:hAnsi="David"/>
          <w:b/>
          <w:bCs/>
          <w:rtl/>
        </w:rPr>
        <w:t>מרכז תורני לאומי ע"ר נ' קפלן,</w:t>
      </w:r>
      <w:r>
        <w:rPr>
          <w:rFonts w:ascii="David" w:hAnsi="David"/>
          <w:rtl/>
        </w:rPr>
        <w:t xml:space="preserve"> סע' ל"ב (28.10.2015)]. </w:t>
      </w:r>
    </w:p>
    <w:p w:rsidR="00AF37B2" w:rsidRDefault="00AF37B2" w:rsidP="00AF37B2">
      <w:pPr>
        <w:spacing w:after="120" w:line="360" w:lineRule="auto"/>
        <w:ind w:left="720"/>
        <w:jc w:val="both"/>
        <w:rPr>
          <w:rFonts w:ascii="David" w:hAnsi="David"/>
          <w:rtl/>
        </w:rPr>
      </w:pPr>
      <w:r>
        <w:rPr>
          <w:rFonts w:ascii="David" w:hAnsi="David"/>
          <w:rtl/>
        </w:rPr>
        <w:t xml:space="preserve">הדיון בערעור אינו דיון מחודש בנושאים שנדונו והוכרעו בערכאה הקודמת מבלי שיש לכך הצדקה [עיינו: חמי בן-נון וטל חבקין </w:t>
      </w:r>
      <w:r>
        <w:rPr>
          <w:rFonts w:ascii="David" w:hAnsi="David"/>
          <w:b/>
          <w:bCs/>
          <w:rtl/>
        </w:rPr>
        <w:t xml:space="preserve">הערעור האזרחי, </w:t>
      </w:r>
      <w:r>
        <w:rPr>
          <w:rFonts w:ascii="David" w:hAnsi="David"/>
          <w:rtl/>
        </w:rPr>
        <w:t xml:space="preserve">473 (2012); ע"א 2051/16 </w:t>
      </w:r>
      <w:r>
        <w:rPr>
          <w:rFonts w:ascii="David" w:hAnsi="David"/>
          <w:b/>
          <w:bCs/>
          <w:rtl/>
        </w:rPr>
        <w:t>משה איטח נ' ש.פ. חברה לנאמנות ניהול ואחזקות בע"מ</w:t>
      </w:r>
      <w:r>
        <w:rPr>
          <w:rFonts w:ascii="David" w:hAnsi="David"/>
          <w:rtl/>
        </w:rPr>
        <w:t>, (20.06.2018)‏‏].</w:t>
      </w:r>
    </w:p>
    <w:p w:rsidR="00AF37B2" w:rsidRDefault="00AF37B2" w:rsidP="00AF37B2">
      <w:pPr>
        <w:spacing w:after="120" w:line="360" w:lineRule="auto"/>
        <w:ind w:left="720"/>
        <w:jc w:val="both"/>
        <w:rPr>
          <w:rFonts w:ascii="David" w:hAnsi="David"/>
          <w:rtl/>
        </w:rPr>
      </w:pPr>
      <w:r>
        <w:rPr>
          <w:rFonts w:ascii="David" w:hAnsi="David"/>
          <w:u w:val="single"/>
          <w:rtl/>
        </w:rPr>
        <w:t>הכלל השני</w:t>
      </w:r>
      <w:r>
        <w:rPr>
          <w:rFonts w:ascii="David" w:hAnsi="David"/>
          <w:rtl/>
        </w:rPr>
        <w:t xml:space="preserve"> – ערכאת הערעור תתערב בממצאים עובדתיים שקבעה הערכאה הדיונית רק במקרים חריגים, כאשר נפלה טעות בולטת בקביעתם, או שנמצא שיש בהם פגם היורד לשורשו של עניין [עיינו: ע"א 3601/96 </w:t>
      </w:r>
      <w:r>
        <w:rPr>
          <w:rFonts w:ascii="David" w:hAnsi="David"/>
          <w:b/>
          <w:bCs/>
          <w:rtl/>
        </w:rPr>
        <w:t>בראשי נ' עיזבון המנוח זלמן בראשי ז"ל</w:t>
      </w:r>
      <w:r>
        <w:rPr>
          <w:rFonts w:ascii="David" w:hAnsi="David"/>
          <w:rtl/>
        </w:rPr>
        <w:t xml:space="preserve">, פ"ד נב(2) 582, 594 (1998); ע"א 4250/15 </w:t>
      </w:r>
      <w:r>
        <w:rPr>
          <w:rFonts w:ascii="David" w:hAnsi="David"/>
          <w:b/>
          <w:bCs/>
          <w:rtl/>
        </w:rPr>
        <w:t>חברה פלונית נ' פלוני</w:t>
      </w:r>
      <w:r>
        <w:rPr>
          <w:rFonts w:ascii="David" w:hAnsi="David"/>
          <w:rtl/>
        </w:rPr>
        <w:t xml:space="preserve"> (25.07.2018)]; </w:t>
      </w:r>
    </w:p>
    <w:p w:rsidR="00AF37B2" w:rsidRDefault="00AF37B2" w:rsidP="00AF37B2">
      <w:pPr>
        <w:spacing w:after="120" w:line="360" w:lineRule="auto"/>
        <w:ind w:left="720"/>
        <w:jc w:val="both"/>
        <w:rPr>
          <w:rFonts w:ascii="David" w:hAnsi="David"/>
          <w:rtl/>
        </w:rPr>
      </w:pPr>
      <w:r>
        <w:rPr>
          <w:rFonts w:ascii="David" w:hAnsi="David"/>
          <w:rtl/>
        </w:rPr>
        <w:lastRenderedPageBreak/>
        <w:t xml:space="preserve">כך גם הדבר לגבי התערבות ערכאת הערעור בממצאי מהימנות שנקבעו על ידי הערכאה הדיונית, אשר בידה האפשרות להתרשם מהעדים ומחקירתם על דוכן העדים באופן בלתי אמצעי [עיינו: ע"א 8559/15 </w:t>
      </w:r>
      <w:r>
        <w:rPr>
          <w:rFonts w:ascii="David" w:hAnsi="David"/>
          <w:b/>
          <w:bCs/>
          <w:rtl/>
        </w:rPr>
        <w:t>עבאס נ' מפלי התנור בע"מ</w:t>
      </w:r>
      <w:r>
        <w:rPr>
          <w:rFonts w:ascii="David" w:hAnsi="David"/>
          <w:rtl/>
        </w:rPr>
        <w:t xml:space="preserve"> (27.05.2018); ע"א 3518/16 </w:t>
      </w:r>
      <w:r>
        <w:rPr>
          <w:rFonts w:ascii="David" w:hAnsi="David"/>
          <w:b/>
          <w:bCs/>
          <w:rtl/>
        </w:rPr>
        <w:t>עמוס פוגל נ' עיריית טבריה</w:t>
      </w:r>
      <w:r>
        <w:rPr>
          <w:rFonts w:ascii="David" w:hAnsi="David"/>
          <w:rtl/>
        </w:rPr>
        <w:t xml:space="preserve"> (25.10.2018)‏‏].</w:t>
      </w:r>
    </w:p>
    <w:p w:rsidR="00AF37B2" w:rsidRDefault="00AF37B2" w:rsidP="00AF37B2">
      <w:pPr>
        <w:spacing w:after="120" w:line="360" w:lineRule="auto"/>
        <w:ind w:left="720" w:hanging="720"/>
        <w:jc w:val="both"/>
        <w:rPr>
          <w:rFonts w:ascii="David" w:hAnsi="David"/>
          <w:rtl/>
        </w:rPr>
      </w:pPr>
      <w:r>
        <w:rPr>
          <w:rFonts w:ascii="David" w:hAnsi="David"/>
          <w:rtl/>
        </w:rPr>
        <w:t>25.</w:t>
      </w:r>
      <w:r>
        <w:rPr>
          <w:rFonts w:ascii="David" w:hAnsi="David"/>
          <w:rtl/>
        </w:rPr>
        <w:tab/>
        <w:t xml:space="preserve">יישום שני כללים אלה מביא לדחיית הערעור דנן: הממצאים העובדתיים שקבע בית משפט קמא מעוגנים בחומר הראיות שהונח בפניו, בהתרשמותו מהצדדים ומראיותיהם, </w:t>
      </w:r>
      <w:r>
        <w:rPr>
          <w:rFonts w:ascii="David" w:hAnsi="David"/>
          <w:b/>
          <w:bCs/>
          <w:rtl/>
        </w:rPr>
        <w:t>ובמיוחד מתוצאות הבדיקות הגנטיות שנערכו בנדון, ששללו אבהותו של המנוח בהתייחס למערער.</w:t>
      </w:r>
      <w:r>
        <w:rPr>
          <w:rFonts w:ascii="David" w:hAnsi="David"/>
          <w:rtl/>
        </w:rPr>
        <w:t xml:space="preserve"> </w:t>
      </w:r>
    </w:p>
    <w:p w:rsidR="00AF37B2" w:rsidRDefault="00AF37B2" w:rsidP="00AF37B2">
      <w:pPr>
        <w:spacing w:after="120" w:line="360" w:lineRule="auto"/>
        <w:ind w:left="720" w:hanging="720"/>
        <w:jc w:val="both"/>
        <w:rPr>
          <w:rFonts w:ascii="David" w:hAnsi="David"/>
          <w:rtl/>
        </w:rPr>
      </w:pPr>
      <w:r>
        <w:rPr>
          <w:rFonts w:ascii="David" w:hAnsi="David"/>
          <w:rtl/>
        </w:rPr>
        <w:t>26.</w:t>
      </w:r>
      <w:r>
        <w:rPr>
          <w:rFonts w:ascii="David" w:hAnsi="David"/>
          <w:rtl/>
        </w:rPr>
        <w:tab/>
        <w:t xml:space="preserve">משכך המסקנות המשפטיות שהסיק בית משפט קמא, מעוגנות בדין ובפסיקה, ולא מצאנו כי יש מקום להתערב בהן. </w:t>
      </w:r>
    </w:p>
    <w:p w:rsidR="00AF37B2" w:rsidRDefault="00AF37B2" w:rsidP="00AF37B2">
      <w:pPr>
        <w:spacing w:after="120" w:line="360" w:lineRule="auto"/>
        <w:jc w:val="both"/>
        <w:rPr>
          <w:rFonts w:ascii="David" w:hAnsi="David"/>
          <w:rtl/>
        </w:rPr>
      </w:pPr>
      <w:r>
        <w:rPr>
          <w:rFonts w:ascii="David" w:hAnsi="David"/>
          <w:rtl/>
        </w:rPr>
        <w:t>27.</w:t>
      </w:r>
      <w:r>
        <w:rPr>
          <w:rFonts w:ascii="David" w:hAnsi="David"/>
          <w:rtl/>
        </w:rPr>
        <w:tab/>
        <w:t xml:space="preserve">נדגיש כי פסק הדין קמא מפורט ומנומק היטב, ונטוע היטב בחומר הראיות. </w:t>
      </w:r>
    </w:p>
    <w:p w:rsidR="00AF37B2" w:rsidRDefault="00AF37B2" w:rsidP="00AF37B2">
      <w:pPr>
        <w:spacing w:after="120" w:line="360" w:lineRule="auto"/>
        <w:ind w:left="720"/>
        <w:jc w:val="both"/>
        <w:rPr>
          <w:rFonts w:ascii="David" w:hAnsi="David"/>
          <w:rtl/>
        </w:rPr>
      </w:pPr>
      <w:r>
        <w:rPr>
          <w:rFonts w:ascii="David" w:hAnsi="David"/>
          <w:rtl/>
        </w:rPr>
        <w:t>בנדון נדגיש – תמונה כזאת או אחרת המלמדת על דמיון מסוים בקלסתר הפנים שבין המנוח למערער, אין בכוחה, במיוחד לנוכח תוצאות הבדיקות הגנטיות השוללות (או לא מאשרות) אבהות, לגרום להכרה באבהותו של המנוח בהתייחס למערער.</w:t>
      </w:r>
    </w:p>
    <w:p w:rsidR="00AF37B2" w:rsidRDefault="00AF37B2" w:rsidP="00AF37B2">
      <w:pPr>
        <w:spacing w:after="120" w:line="360" w:lineRule="auto"/>
        <w:ind w:left="720" w:hanging="720"/>
        <w:jc w:val="both"/>
        <w:rPr>
          <w:rFonts w:ascii="David" w:hAnsi="David"/>
          <w:rtl/>
        </w:rPr>
      </w:pPr>
      <w:r>
        <w:rPr>
          <w:rFonts w:ascii="David" w:hAnsi="David"/>
          <w:rtl/>
        </w:rPr>
        <w:t>28.</w:t>
      </w:r>
      <w:r>
        <w:rPr>
          <w:rFonts w:ascii="David" w:hAnsi="David"/>
          <w:rtl/>
        </w:rPr>
        <w:tab/>
        <w:t xml:space="preserve">אנו סבורים כי התשובה שהגישה משיבה 2, שתמציתה לעיל, משקפת נכוחה את המצב העובדתי והמשפטי בסוגיה דנן, לרבות בסוגיית אי היעתרות לבקשה לפתיחת הקבר, כסעד החלופי שהתבקש במסגרת ערעור זה. </w:t>
      </w:r>
    </w:p>
    <w:p w:rsidR="00AF37B2" w:rsidRDefault="00AF37B2" w:rsidP="00AF37B2">
      <w:pPr>
        <w:spacing w:after="120" w:line="360" w:lineRule="auto"/>
        <w:ind w:left="720" w:hanging="720"/>
        <w:jc w:val="both"/>
        <w:rPr>
          <w:rFonts w:ascii="David" w:hAnsi="David"/>
          <w:rtl/>
        </w:rPr>
      </w:pPr>
      <w:r>
        <w:rPr>
          <w:rFonts w:ascii="David" w:hAnsi="David"/>
          <w:rtl/>
        </w:rPr>
        <w:tab/>
        <w:t xml:space="preserve">בנקודה זו של הבקשה החלופית לפתיחת קברו של המנוח, ראוי גם לציין את טענת ב"כ משיבה 1 בדיון בפנינו, כי לנוכח הבדיקות הגנטיות שכבר נערכו, ההוראה בדבר פתיחת קברו תפגע בכבודו של המת/המנוח, ובנסיבות אלה אין מקום להיעתר לכך. </w:t>
      </w:r>
    </w:p>
    <w:p w:rsidR="00AF37B2" w:rsidRDefault="00AF37B2" w:rsidP="00AF37B2">
      <w:pPr>
        <w:spacing w:after="120" w:line="360" w:lineRule="auto"/>
        <w:ind w:left="720" w:hanging="720"/>
        <w:jc w:val="both"/>
        <w:rPr>
          <w:rFonts w:ascii="David" w:hAnsi="David"/>
          <w:rtl/>
        </w:rPr>
      </w:pPr>
      <w:r>
        <w:rPr>
          <w:rFonts w:ascii="David" w:hAnsi="David"/>
          <w:rtl/>
        </w:rPr>
        <w:t>29.</w:t>
      </w:r>
      <w:r>
        <w:rPr>
          <w:rFonts w:ascii="David" w:hAnsi="David"/>
          <w:rtl/>
        </w:rPr>
        <w:tab/>
      </w:r>
      <w:r>
        <w:rPr>
          <w:rFonts w:ascii="David" w:hAnsi="David"/>
          <w:b/>
          <w:bCs/>
          <w:rtl/>
        </w:rPr>
        <w:t>אשר על כן אנו מאמצים את פסק דינו של בית המשפט קמא ודוחים את הערעור מכח תקנה 148(ב) לתקנות סדר הדין האזרחי, התשע"ט-2018, אשר הוחלה גם על ערעור בענייני משפחה, מכוח תקנה 44 לתקנות בית המשפט לענייני משפחה (סדרי דין), התשפ"א-2020.</w:t>
      </w:r>
    </w:p>
    <w:p w:rsidR="00AF37B2" w:rsidRDefault="00AF37B2" w:rsidP="00AF37B2">
      <w:pPr>
        <w:spacing w:after="120" w:line="360" w:lineRule="auto"/>
        <w:ind w:left="720" w:hanging="720"/>
        <w:jc w:val="both"/>
        <w:rPr>
          <w:rFonts w:ascii="David" w:hAnsi="David"/>
          <w:rtl/>
        </w:rPr>
      </w:pPr>
      <w:r>
        <w:rPr>
          <w:rFonts w:ascii="David" w:hAnsi="David"/>
          <w:rtl/>
        </w:rPr>
        <w:t>30.</w:t>
      </w:r>
      <w:r>
        <w:rPr>
          <w:rFonts w:ascii="David" w:hAnsi="David"/>
          <w:rtl/>
        </w:rPr>
        <w:tab/>
        <w:t>המערער ייש</w:t>
      </w:r>
      <w:r w:rsidR="00AC649B">
        <w:rPr>
          <w:rFonts w:ascii="David" w:hAnsi="David"/>
          <w:rtl/>
        </w:rPr>
        <w:t>א בהוצאות המשיבות ובשכר טרחת בא</w:t>
      </w:r>
      <w:r w:rsidR="00AC649B">
        <w:rPr>
          <w:rFonts w:ascii="David" w:hAnsi="David" w:hint="cs"/>
          <w:rtl/>
        </w:rPr>
        <w:t>ות</w:t>
      </w:r>
      <w:r>
        <w:rPr>
          <w:rFonts w:ascii="David" w:hAnsi="David"/>
          <w:rtl/>
        </w:rPr>
        <w:t xml:space="preserve"> כוחן בערעור זה בסכום כולל של 7500 ₪. סכום זה ישולם מתוך סכום העירבון שהופקד בתיק זה, ויחולק בחלקים שווים בין המשיבות (משיבה 1 באמצעות באת כוחה). יתרת הערבון תוחזר לידי המערער באמצעות באת כוחו, עו"ד שרין סולן.</w:t>
      </w:r>
    </w:p>
    <w:p w:rsidR="00F55703" w:rsidRDefault="00F55703" w:rsidP="00AF37B2">
      <w:pPr>
        <w:spacing w:after="120" w:line="360" w:lineRule="auto"/>
        <w:jc w:val="both"/>
        <w:rPr>
          <w:rFonts w:ascii="David" w:hAnsi="David"/>
          <w:b/>
          <w:bCs/>
          <w:rtl/>
        </w:rPr>
      </w:pPr>
    </w:p>
    <w:p w:rsidR="00AF37B2" w:rsidRDefault="00AF37B2" w:rsidP="00AF37B2">
      <w:pPr>
        <w:spacing w:after="120" w:line="360" w:lineRule="auto"/>
        <w:jc w:val="both"/>
        <w:rPr>
          <w:rFonts w:ascii="David" w:hAnsi="David"/>
          <w:b/>
          <w:bCs/>
          <w:rtl/>
        </w:rPr>
      </w:pPr>
      <w:r>
        <w:rPr>
          <w:rFonts w:ascii="David" w:hAnsi="David"/>
          <w:b/>
          <w:bCs/>
          <w:rtl/>
        </w:rPr>
        <w:t>המזכירות תעביר פסק דין זה לצדדים.</w:t>
      </w:r>
    </w:p>
    <w:p w:rsidR="00AF37B2" w:rsidRDefault="00AF37B2" w:rsidP="00195725">
      <w:pPr>
        <w:spacing w:after="120" w:line="360" w:lineRule="auto"/>
        <w:ind w:left="-1"/>
        <w:jc w:val="both"/>
        <w:rPr>
          <w:rFonts w:ascii="David" w:hAnsi="David"/>
          <w:rtl/>
        </w:rPr>
      </w:pPr>
    </w:p>
    <w:p w:rsidR="00195725" w:rsidRDefault="00195725" w:rsidP="00195725">
      <w:pPr>
        <w:spacing w:after="120" w:line="360" w:lineRule="auto"/>
        <w:ind w:left="-1"/>
        <w:jc w:val="both"/>
        <w:rPr>
          <w:rFonts w:ascii="David" w:hAnsi="David"/>
          <w:b/>
          <w:bCs/>
          <w:rtl/>
        </w:rPr>
      </w:pPr>
      <w:r w:rsidRPr="00195725">
        <w:rPr>
          <w:rFonts w:ascii="David" w:hAnsi="David" w:hint="cs"/>
          <w:b/>
          <w:bCs/>
          <w:rtl/>
        </w:rPr>
        <w:t>פסק דין זה מותר לפרסום תוך השמטת שמות הצדדים וכל פרט מזהה אחר.</w:t>
      </w:r>
    </w:p>
    <w:p w:rsidR="00195725" w:rsidRPr="00195725" w:rsidRDefault="00195725" w:rsidP="00195725">
      <w:pPr>
        <w:spacing w:after="120" w:line="360" w:lineRule="auto"/>
        <w:ind w:left="-1"/>
        <w:jc w:val="both"/>
        <w:rPr>
          <w:rFonts w:ascii="David" w:hAnsi="David"/>
          <w:b/>
          <w:bCs/>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lastRenderedPageBreak/>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נובמבר 2024</w:t>
          </w:r>
        </w:sdtContent>
      </w:sdt>
      <w:r w:rsidR="00005C8B">
        <w:rPr>
          <w:rFonts w:ascii="Arial" w:hAnsi="Arial"/>
          <w:noProof w:val="0"/>
          <w:rtl/>
        </w:rPr>
        <w:t>, בהעדר הצדדים.</w:t>
      </w:r>
    </w:p>
    <w:p w:rsidR="00195725" w:rsidRDefault="00195725" w:rsidP="00860102">
      <w:pPr>
        <w:spacing w:line="360" w:lineRule="auto"/>
        <w:jc w:val="both"/>
        <w:rPr>
          <w:rFonts w:ascii="Arial" w:hAnsi="Arial"/>
          <w:noProof w:val="0"/>
          <w:rtl/>
        </w:rPr>
      </w:pPr>
    </w:p>
    <w:p w:rsidR="00AF37B2" w:rsidRDefault="00AF37B2" w:rsidP="00860102">
      <w:pPr>
        <w:spacing w:line="360" w:lineRule="auto"/>
        <w:jc w:val="both"/>
        <w:rPr>
          <w:rFonts w:ascii="Arial" w:hAnsi="Arial"/>
          <w:noProof w:val="0"/>
          <w:rtl/>
        </w:rPr>
      </w:pPr>
    </w:p>
    <w:p w:rsidR="00AF37B2" w:rsidRDefault="00AF37B2" w:rsidP="00860102">
      <w:pPr>
        <w:spacing w:line="360" w:lineRule="auto"/>
        <w:jc w:val="both"/>
        <w:rPr>
          <w:rFonts w:ascii="Arial" w:hAnsi="Arial"/>
          <w:noProof w:val="0"/>
          <w:rtl/>
        </w:rPr>
      </w:pPr>
    </w:p>
    <w:p w:rsidR="00C43648" w:rsidRDefault="00C43648" w:rsidP="00BD6531">
      <w:pPr>
        <w:tabs>
          <w:tab w:val="left" w:pos="2553"/>
        </w:tabs>
        <w:ind w:left="5040"/>
        <w:rPr>
          <w:rtl/>
        </w:rPr>
      </w:pPr>
    </w:p>
    <w:p w:rsidR="00AF37B2" w:rsidRPr="00EC12BC" w:rsidRDefault="00AF37B2"/>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AF37B2" w:rsidRPr="00EC12BC" w:rsidTr="000210FB">
        <w:tc>
          <w:tcPr>
            <w:tcW w:w="2796" w:type="dxa"/>
            <w:tcBorders>
              <w:top w:val="nil"/>
              <w:left w:val="nil"/>
              <w:bottom w:val="single" w:sz="4" w:space="0" w:color="auto"/>
              <w:right w:val="nil"/>
            </w:tcBorders>
            <w:vAlign w:val="bottom"/>
          </w:tcPr>
          <w:p w:rsidR="00AF37B2" w:rsidRPr="00EC12BC" w:rsidRDefault="00AF37B2" w:rsidP="00BB162B">
            <w:pPr>
              <w:jc w:val="center"/>
              <w:rPr>
                <w:rFonts w:ascii="Courier New" w:hAnsi="Courier New"/>
                <w:b/>
                <w:bCs/>
              </w:rPr>
            </w:pPr>
            <w:r>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66341" cy="847284"/>
                          </a:xfrm>
                          <a:prstGeom prst="rect">
                            <a:avLst/>
                          </a:prstGeom>
                        </pic:spPr>
                      </pic:pic>
                    </a:graphicData>
                  </a:graphic>
                </wp:inline>
              </w:drawing>
            </w:r>
          </w:p>
        </w:tc>
        <w:tc>
          <w:tcPr>
            <w:tcW w:w="354" w:type="dxa"/>
            <w:vAlign w:val="bottom"/>
          </w:tcPr>
          <w:p w:rsidR="00AF37B2" w:rsidRPr="00EC12BC" w:rsidRDefault="00AF37B2"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AF37B2" w:rsidRPr="00EC12BC" w:rsidRDefault="00AF37B2"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AF37B2" w:rsidRPr="00EC12BC" w:rsidRDefault="00AF37B2"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AF37B2" w:rsidRPr="00EC12BC" w:rsidRDefault="00AF37B2"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1">
                            <a:extLst>
                              <a:ext uri="{BEBA8EAE-BF5A-486C-A8C5-ECC9F3942E4B}">
                                <a14:imgProps xmlns:a14="http://schemas.microsoft.com/office/drawing/2010/main">
                                  <a14:imgLayer r:embed="rId12">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AF37B2" w:rsidRPr="00EC12BC" w:rsidTr="000210FB">
        <w:tc>
          <w:tcPr>
            <w:tcW w:w="2796" w:type="dxa"/>
            <w:tcBorders>
              <w:top w:val="single" w:sz="4" w:space="0" w:color="auto"/>
              <w:left w:val="nil"/>
              <w:bottom w:val="nil"/>
              <w:right w:val="nil"/>
            </w:tcBorders>
          </w:tcPr>
          <w:p w:rsidR="00AF37B2" w:rsidRDefault="00AF37B2" w:rsidP="00BB162B">
            <w:pPr>
              <w:jc w:val="center"/>
              <w:rPr>
                <w:b/>
                <w:bCs/>
                <w:rtl/>
              </w:rPr>
            </w:pPr>
            <w:r>
              <w:rPr>
                <w:rFonts w:hint="cs"/>
                <w:b/>
                <w:bCs/>
                <w:rtl/>
              </w:rPr>
              <w:t>ח. שרעבי, שופט</w:t>
            </w:r>
          </w:p>
          <w:p w:rsidR="00AF37B2" w:rsidRPr="00EC12BC" w:rsidRDefault="00AF37B2" w:rsidP="00BB162B">
            <w:pPr>
              <w:jc w:val="center"/>
              <w:rPr>
                <w:b/>
                <w:bCs/>
              </w:rPr>
            </w:pPr>
            <w:r>
              <w:rPr>
                <w:rFonts w:hint="cs"/>
                <w:b/>
                <w:bCs/>
                <w:rtl/>
              </w:rPr>
              <w:t>אב"ד</w:t>
            </w:r>
          </w:p>
        </w:tc>
        <w:tc>
          <w:tcPr>
            <w:tcW w:w="354" w:type="dxa"/>
          </w:tcPr>
          <w:p w:rsidR="00AF37B2" w:rsidRPr="00EC12BC" w:rsidRDefault="00AF37B2" w:rsidP="00BB162B">
            <w:pPr>
              <w:spacing w:line="360" w:lineRule="auto"/>
              <w:rPr>
                <w:b/>
                <w:bCs/>
                <w:color w:val="FF0000"/>
              </w:rPr>
            </w:pPr>
          </w:p>
        </w:tc>
        <w:tc>
          <w:tcPr>
            <w:tcW w:w="2312" w:type="dxa"/>
            <w:tcBorders>
              <w:top w:val="single" w:sz="4" w:space="0" w:color="auto"/>
              <w:left w:val="nil"/>
              <w:bottom w:val="nil"/>
              <w:right w:val="nil"/>
            </w:tcBorders>
          </w:tcPr>
          <w:p w:rsidR="00AF37B2" w:rsidRPr="00EC12BC" w:rsidRDefault="00AF37B2" w:rsidP="00BB162B">
            <w:pPr>
              <w:spacing w:line="360" w:lineRule="auto"/>
              <w:jc w:val="center"/>
              <w:rPr>
                <w:b/>
                <w:bCs/>
              </w:rPr>
            </w:pPr>
            <w:r>
              <w:rPr>
                <w:rFonts w:hint="cs"/>
                <w:b/>
                <w:bCs/>
                <w:rtl/>
              </w:rPr>
              <w:t>א. אלון, שופטת</w:t>
            </w:r>
          </w:p>
        </w:tc>
        <w:tc>
          <w:tcPr>
            <w:tcW w:w="341" w:type="dxa"/>
          </w:tcPr>
          <w:p w:rsidR="00AF37B2" w:rsidRPr="00EC12BC" w:rsidRDefault="00AF37B2" w:rsidP="00BB162B">
            <w:pPr>
              <w:spacing w:line="360" w:lineRule="auto"/>
              <w:rPr>
                <w:b/>
                <w:bCs/>
                <w:color w:val="FF0000"/>
              </w:rPr>
            </w:pPr>
          </w:p>
        </w:tc>
        <w:tc>
          <w:tcPr>
            <w:tcW w:w="2503" w:type="dxa"/>
            <w:tcBorders>
              <w:top w:val="single" w:sz="4" w:space="0" w:color="auto"/>
              <w:left w:val="nil"/>
              <w:bottom w:val="nil"/>
              <w:right w:val="nil"/>
            </w:tcBorders>
          </w:tcPr>
          <w:p w:rsidR="00AF37B2" w:rsidRPr="00EC12BC" w:rsidRDefault="00AF37B2" w:rsidP="00BB162B">
            <w:pPr>
              <w:spacing w:line="360" w:lineRule="auto"/>
              <w:jc w:val="center"/>
              <w:rPr>
                <w:b/>
                <w:bCs/>
                <w:rtl/>
              </w:rPr>
            </w:pPr>
            <w:r>
              <w:rPr>
                <w:rFonts w:hint="cs"/>
                <w:b/>
                <w:bCs/>
                <w:rtl/>
              </w:rPr>
              <w:t>א. נאמן, שופט</w:t>
            </w:r>
          </w:p>
        </w:tc>
      </w:tr>
    </w:tbl>
    <w:p w:rsidR="00694556" w:rsidRDefault="00BD6531" w:rsidP="00AF37B2">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AF37B2">
      <w:headerReference w:type="even" r:id="rId13"/>
      <w:headerReference w:type="default" r:id="rId14"/>
      <w:footerReference w:type="even" r:id="rId15"/>
      <w:footerReference w:type="default" r:id="rId16"/>
      <w:headerReference w:type="first" r:id="rId17"/>
      <w:footerReference w:type="first" r:id="rId18"/>
      <w:pgSz w:w="11907" w:h="16840" w:code="9"/>
      <w:pgMar w:top="1440" w:right="1134"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F0A" w:rsidRDefault="00843F0A">
      <w:r>
        <w:separator/>
      </w:r>
    </w:p>
  </w:endnote>
  <w:endnote w:type="continuationSeparator" w:id="0">
    <w:p w:rsidR="00843F0A" w:rsidRDefault="0084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41E" w:rsidRDefault="0070241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F4CCE">
      <w:rPr>
        <w:rStyle w:val="ab"/>
        <w:rFonts w:ascii="David" w:hAnsi="David"/>
        <w:rtl/>
      </w:rPr>
      <w:t>9</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F4CCE">
      <w:rPr>
        <w:rStyle w:val="ab"/>
        <w:rFonts w:ascii="David" w:hAnsi="David"/>
        <w:rtl/>
      </w:rPr>
      <w:t>9</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41E" w:rsidRDefault="0070241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F0A" w:rsidRDefault="00843F0A">
      <w:r>
        <w:separator/>
      </w:r>
    </w:p>
  </w:footnote>
  <w:footnote w:type="continuationSeparator" w:id="0">
    <w:p w:rsidR="00843F0A" w:rsidRDefault="0084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41E" w:rsidRDefault="0070241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3D1358" w:rsidRDefault="00843F0A" w:rsidP="00683C0C">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31395-06-24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683C0C">
                <w:rPr>
                  <w:rFonts w:hint="cs"/>
                  <w:b/>
                  <w:bCs/>
                  <w:noProof w:val="0"/>
                  <w:sz w:val="26"/>
                  <w:szCs w:val="26"/>
                  <w:rtl/>
                </w:rPr>
                <w:t>מ'</w:t>
              </w:r>
              <w:r w:rsidR="00683C0C">
                <w:rPr>
                  <w:b/>
                  <w:bCs/>
                  <w:noProof w:val="0"/>
                  <w:sz w:val="26"/>
                  <w:szCs w:val="26"/>
                  <w:rtl/>
                </w:rPr>
                <w:t xml:space="preserve"> ואח' נ' נ</w:t>
              </w:r>
              <w:r w:rsidR="00683C0C">
                <w:rPr>
                  <w:rFonts w:hint="cs"/>
                  <w:b/>
                  <w:bCs/>
                  <w:noProof w:val="0"/>
                  <w:sz w:val="26"/>
                  <w:szCs w:val="26"/>
                  <w:rtl/>
                </w:rPr>
                <w:t xml:space="preserve">. ס </w:t>
              </w:r>
              <w:r w:rsidR="00424313">
                <w:rPr>
                  <w:b/>
                  <w:bCs/>
                  <w:noProof w:val="0"/>
                  <w:sz w:val="26"/>
                  <w:szCs w:val="26"/>
                  <w:rtl/>
                </w:rPr>
                <w:t>(המנוח) ואח'</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41E" w:rsidRDefault="0070241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13098"/>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313098&amp;lt;/CaseID&amp;gt;_x000d__x000a_        &amp;lt;DocumentID&amp;gt;460295257&amp;lt;/DocumentID&amp;gt;_x000d__x000a_      &amp;lt;/dt_DocumentCase&amp;gt;_x000d__x000a_      &amp;lt;dt_Document diffgr:id=&amp;quot;dt_Document1&amp;quot; msdata:rowOrder=&amp;quot;0&amp;quot;&amp;gt;_x000d__x000a_        &amp;lt;DocumentID&amp;gt;460295257&amp;lt;/DocumentID&amp;gt;_x000d__x000a_        &amp;lt;DocumentMainID&amp;gt;0&amp;lt;/DocumentMainID&amp;gt;_x000d__x000a_        &amp;lt;CaseID&amp;gt;81313098&amp;lt;/CaseID&amp;gt;_x000d__x000a_        &amp;lt;DocumentIncludedDate&amp;gt;2024-11-12T09:19:56.233+02:00&amp;lt;/DocumentIncludedDate&amp;gt;_x000d__x000a_        &amp;lt;DocumentDesc&amp;gt;פסק דין  שניתנה ע&amp;quot;י  חננאל שרעב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11-12T09:19:56.233+02:00&amp;lt;/DocumentSavingDate&amp;gt;_x000d__x000a_        &amp;lt;DocumentChangeDate&amp;gt;2024-11-12T09:19:56.36+02:00&amp;lt;/DocumentChangeDate&amp;gt;_x000d__x000a_        &amp;lt;IsScanned&amp;gt;false&amp;lt;/IsScanned&amp;gt;_x000d__x000a_        &amp;lt;PageQuantity&amp;gt;0&amp;lt;/PageQuantity&amp;gt;_x000d__x000a_        &amp;lt;DocumentStatusID&amp;gt;2&amp;lt;/DocumentStatusID&amp;gt;_x000d__x000a_        &amp;lt;DocumentStatusChangeDate&amp;gt;2024-11-12T09:19:56.36+02:00&amp;lt;/DocumentStatusChangeDate&amp;gt;_x000d__x000a_        &amp;lt;TemplateVersionID&amp;gt;1&amp;lt;/TemplateVersionID&amp;gt;_x000d__x000a_        &amp;lt;DocumentChangeUserID&amp;gt;056479827@GOV.IL&amp;lt;/DocumentChangeUserID&amp;gt;_x000d__x000a_        &amp;lt;DocumentCreationUserID&amp;gt;056479827@GOV.IL&amp;lt;/DocumentCreationUserID&amp;gt;_x000d__x000a_        &amp;lt;OriginalDocumentID&amp;gt;460280628&amp;lt;/OriginalDocumentID&amp;gt;_x000d__x000a_        &amp;lt;PrivillegeID&amp;gt;2&amp;lt;/PrivillegeID&amp;gt;_x000d__x000a_        &amp;lt;FromPage&amp;gt;0&amp;lt;/FromPage&amp;gt;_x000d__x000a_        &amp;lt;ToPage&amp;gt;0&amp;lt;/ToPage&amp;gt;_x000d__x000a_        &amp;lt;FileID&amp;gt;704a3e1f93010000090037f6abc42db2&amp;lt;/FileID&amp;gt;_x000d__x000a_        &amp;lt;URL&amp;gt;\\CTLNFSV02\doc_repository\458\656\7e1ae3ddad054b43a1613f2407516531_copy.docx&amp;lt;/URL&amp;gt;_x000d__x000a_        &amp;lt;OlivePriority&amp;gt;1&amp;lt;/OlivePriority&amp;gt;_x000d__x000a_        &amp;lt;MetaDataTypeID&amp;gt;1&amp;lt;/MetaDataTypeID&amp;gt;_x000d__x000a_        &amp;lt;MetaDataChangeDate&amp;gt;2024-11-12T09:19:56.36+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חננאל שרעבי&amp;amp;lt;/anyType&amp;amp;gt;_x000d__x000a_    &amp;amp;lt;anyType xsi:type=&amp;quot;xsd:dateTime&amp;quot;&amp;amp;gt;2024-11-12T09:18:56.53176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1-12T09:18:56.533+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95725"/>
    <w:rsid w:val="001C4003"/>
    <w:rsid w:val="001D4DBF"/>
    <w:rsid w:val="001E75CA"/>
    <w:rsid w:val="002265FF"/>
    <w:rsid w:val="00271B56"/>
    <w:rsid w:val="00272E32"/>
    <w:rsid w:val="002C344E"/>
    <w:rsid w:val="002E75E9"/>
    <w:rsid w:val="002F0B1E"/>
    <w:rsid w:val="002F6AB4"/>
    <w:rsid w:val="00307A6A"/>
    <w:rsid w:val="00307C40"/>
    <w:rsid w:val="00320433"/>
    <w:rsid w:val="003230C7"/>
    <w:rsid w:val="00327E50"/>
    <w:rsid w:val="0033597A"/>
    <w:rsid w:val="00343D89"/>
    <w:rsid w:val="00362612"/>
    <w:rsid w:val="0036743F"/>
    <w:rsid w:val="003715DD"/>
    <w:rsid w:val="003823E0"/>
    <w:rsid w:val="003A4521"/>
    <w:rsid w:val="003D1358"/>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3C0C"/>
    <w:rsid w:val="00686C21"/>
    <w:rsid w:val="006931C1"/>
    <w:rsid w:val="00694556"/>
    <w:rsid w:val="006C30C5"/>
    <w:rsid w:val="006D3B31"/>
    <w:rsid w:val="006E0D96"/>
    <w:rsid w:val="006E1A53"/>
    <w:rsid w:val="006F56E6"/>
    <w:rsid w:val="0070241E"/>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3F0A"/>
    <w:rsid w:val="00844318"/>
    <w:rsid w:val="00860102"/>
    <w:rsid w:val="00863F5D"/>
    <w:rsid w:val="00870890"/>
    <w:rsid w:val="00873602"/>
    <w:rsid w:val="00875D12"/>
    <w:rsid w:val="00876170"/>
    <w:rsid w:val="0088479D"/>
    <w:rsid w:val="00891F42"/>
    <w:rsid w:val="00896889"/>
    <w:rsid w:val="008A6E97"/>
    <w:rsid w:val="008C5714"/>
    <w:rsid w:val="008C6DAF"/>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C649B"/>
    <w:rsid w:val="00AE0E34"/>
    <w:rsid w:val="00AE729E"/>
    <w:rsid w:val="00AE7752"/>
    <w:rsid w:val="00AF37B2"/>
    <w:rsid w:val="00AF7FDA"/>
    <w:rsid w:val="00B5356E"/>
    <w:rsid w:val="00B809AD"/>
    <w:rsid w:val="00B80CBD"/>
    <w:rsid w:val="00B859C5"/>
    <w:rsid w:val="00B86096"/>
    <w:rsid w:val="00B964D9"/>
    <w:rsid w:val="00BA0A7C"/>
    <w:rsid w:val="00BA517C"/>
    <w:rsid w:val="00BB3D05"/>
    <w:rsid w:val="00BB53D3"/>
    <w:rsid w:val="00BB73BE"/>
    <w:rsid w:val="00BC2D89"/>
    <w:rsid w:val="00BC49F2"/>
    <w:rsid w:val="00BD6531"/>
    <w:rsid w:val="00BE05B2"/>
    <w:rsid w:val="00BF1908"/>
    <w:rsid w:val="00C22D93"/>
    <w:rsid w:val="00C23458"/>
    <w:rsid w:val="00C23AC9"/>
    <w:rsid w:val="00C24864"/>
    <w:rsid w:val="00C31120"/>
    <w:rsid w:val="00C34482"/>
    <w:rsid w:val="00C43648"/>
    <w:rsid w:val="00C5051B"/>
    <w:rsid w:val="00C50A9F"/>
    <w:rsid w:val="00C642FA"/>
    <w:rsid w:val="00C770E3"/>
    <w:rsid w:val="00C77C3C"/>
    <w:rsid w:val="00CC7622"/>
    <w:rsid w:val="00CD608F"/>
    <w:rsid w:val="00CF4CCE"/>
    <w:rsid w:val="00CF6BB7"/>
    <w:rsid w:val="00D04AA4"/>
    <w:rsid w:val="00D27982"/>
    <w:rsid w:val="00D33B86"/>
    <w:rsid w:val="00D44968"/>
    <w:rsid w:val="00D53924"/>
    <w:rsid w:val="00D55D0C"/>
    <w:rsid w:val="00D96D8C"/>
    <w:rsid w:val="00DA2495"/>
    <w:rsid w:val="00DA6649"/>
    <w:rsid w:val="00DB6218"/>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55703"/>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901952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1B17643A83416E8EAC9AA24B7F6541"/>
        <w:category>
          <w:name w:val="כללי"/>
          <w:gallery w:val="placeholder"/>
        </w:category>
        <w:types>
          <w:type w:val="bbPlcHdr"/>
        </w:types>
        <w:behaviors>
          <w:behavior w:val="content"/>
        </w:behaviors>
        <w:guid w:val="{F4263CA4-9924-40B2-B0FE-77DB7077176A}"/>
      </w:docPartPr>
      <w:docPartBody>
        <w:p w:rsidR="009133C7" w:rsidRDefault="00AA7CE3">
          <w:r w:rsidRPr="00D47A1C">
            <w:rPr>
              <w:rStyle w:val="a3"/>
              <w:rtl/>
            </w:rPr>
            <w:t>לחץ כאן להזנת טקסט</w:t>
          </w:r>
          <w:r w:rsidRPr="00D47A1C">
            <w:rPr>
              <w:rStyle w:val="a3"/>
            </w:rPr>
            <w:t>.</w:t>
          </w:r>
        </w:p>
      </w:docPartBody>
    </w:docPart>
    <w:docPart>
      <w:docPartPr>
        <w:name w:val="1CA9393475B94E01B86BE56860E4656F"/>
        <w:category>
          <w:name w:val="כללי"/>
          <w:gallery w:val="placeholder"/>
        </w:category>
        <w:types>
          <w:type w:val="bbPlcHdr"/>
        </w:types>
        <w:behaviors>
          <w:behavior w:val="content"/>
        </w:behaviors>
        <w:guid w:val="{7C7DE2E5-7127-4DD0-8B52-21A13C8708C7}"/>
      </w:docPartPr>
      <w:docPartBody>
        <w:p w:rsidR="00345C9D" w:rsidRDefault="006377AB" w:rsidP="006377AB">
          <w:pPr>
            <w:pStyle w:val="E460D38E05664FF79D4EFF282EF8EC9927"/>
          </w:pPr>
          <w:r>
            <w:rPr>
              <w:rFonts w:hint="cs"/>
              <w:rtl/>
            </w:rPr>
            <w:t xml:space="preserve">     </w:t>
          </w:r>
        </w:p>
      </w:docPartBody>
    </w:docPart>
    <w:docPart>
      <w:docPartPr>
        <w:name w:val="A91968EBEA1A414AA02D600DEA59407A"/>
        <w:category>
          <w:name w:val="כללי"/>
          <w:gallery w:val="placeholder"/>
        </w:category>
        <w:types>
          <w:type w:val="bbPlcHdr"/>
        </w:types>
        <w:behaviors>
          <w:behavior w:val="content"/>
        </w:behaviors>
        <w:guid w:val="{60A16481-AD2E-4769-A9ED-17FA60C71512}"/>
      </w:docPartPr>
      <w:docPartBody>
        <w:p w:rsidR="007E254A" w:rsidRDefault="006377AB" w:rsidP="006377AB">
          <w:pPr>
            <w:pStyle w:val="E6E6A917CC5E4519A8F2E864C48E22F215"/>
          </w:pPr>
          <w:r w:rsidRPr="00CD608F">
            <w:rPr>
              <w:rFonts w:hint="eastAsia"/>
              <w:b/>
              <w:bCs/>
              <w:sz w:val="26"/>
              <w:szCs w:val="26"/>
              <w:rtl/>
            </w:rPr>
            <w:t>בעניין</w:t>
          </w:r>
          <w:r w:rsidRPr="00CD608F">
            <w:rPr>
              <w:b/>
              <w:bCs/>
              <w:sz w:val="26"/>
              <w:szCs w:val="26"/>
              <w:rtl/>
            </w:rPr>
            <w:t xml:space="preserve"> שם פרטי</w:t>
          </w:r>
        </w:p>
      </w:docPartBody>
    </w:docPart>
    <w:docPart>
      <w:docPartPr>
        <w:name w:val="81C61C40C0BE4DC6BB666A12DEC76965"/>
        <w:category>
          <w:name w:val="כללי"/>
          <w:gallery w:val="placeholder"/>
        </w:category>
        <w:types>
          <w:type w:val="bbPlcHdr"/>
        </w:types>
        <w:behaviors>
          <w:behavior w:val="content"/>
        </w:behaviors>
        <w:guid w:val="{89580921-264F-407A-8691-8E950FDC1B87}"/>
      </w:docPartPr>
      <w:docPartBody>
        <w:p w:rsidR="005157ED" w:rsidRDefault="006377AB" w:rsidP="006377AB">
          <w:pPr>
            <w:pStyle w:val="ECC435E5782A4F3FB39457279E24BE8813"/>
          </w:pPr>
          <w:r>
            <w:rPr>
              <w:b/>
              <w:bCs/>
              <w:sz w:val="26"/>
              <w:szCs w:val="26"/>
              <w:rtl/>
            </w:rPr>
            <w:t>בעניין מספר זיהוי</w:t>
          </w:r>
        </w:p>
      </w:docPartBody>
    </w:docPart>
    <w:docPart>
      <w:docPartPr>
        <w:name w:val="B733ED5D5A724ED0B06E3D6586625A84"/>
        <w:category>
          <w:name w:val="כללי"/>
          <w:gallery w:val="placeholder"/>
        </w:category>
        <w:types>
          <w:type w:val="bbPlcHdr"/>
        </w:types>
        <w:behaviors>
          <w:behavior w:val="content"/>
        </w:behaviors>
        <w:guid w:val="{8220652E-791D-423F-B058-FD66C281DCF7}"/>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21667A" w:rsidRDefault="00620D5E">
          <w:pPr>
            <w:pStyle w:val="C6BA90FD77C34108A862B25D52FEAA7D"/>
          </w:pPr>
          <w:r>
            <w:rPr>
              <w:b/>
              <w:bCs/>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1667A"/>
    <w:rsid w:val="002D02C4"/>
    <w:rsid w:val="00345C9D"/>
    <w:rsid w:val="0048651F"/>
    <w:rsid w:val="005157ED"/>
    <w:rsid w:val="005171E8"/>
    <w:rsid w:val="00556D67"/>
    <w:rsid w:val="00620D5E"/>
    <w:rsid w:val="006377AB"/>
    <w:rsid w:val="00793995"/>
    <w:rsid w:val="007C6F98"/>
    <w:rsid w:val="007E254A"/>
    <w:rsid w:val="00817811"/>
    <w:rsid w:val="008B4366"/>
    <w:rsid w:val="009133C7"/>
    <w:rsid w:val="009178E4"/>
    <w:rsid w:val="00961B27"/>
    <w:rsid w:val="009A4BEE"/>
    <w:rsid w:val="00A51CA1"/>
    <w:rsid w:val="00AA7CE3"/>
    <w:rsid w:val="00AD53D7"/>
    <w:rsid w:val="00B26821"/>
    <w:rsid w:val="00B50DB2"/>
    <w:rsid w:val="00B91FA3"/>
    <w:rsid w:val="00BE6557"/>
    <w:rsid w:val="00C96C06"/>
    <w:rsid w:val="00CE1DCB"/>
    <w:rsid w:val="00D1490D"/>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C1B17643A83416E8EAC9AA24B7F6541">
    <w:name w:val="CC1B17643A83416E8EAC9AA24B7F6541"/>
    <w:pPr>
      <w:bidi/>
    </w:pPr>
  </w:style>
  <w:style w:type="paragraph" w:customStyle="1" w:styleId="1CA9393475B94E01B86BE56860E4656F">
    <w:name w:val="1CA9393475B94E01B86BE56860E4656F"/>
    <w:pPr>
      <w:bidi/>
    </w:pPr>
  </w:style>
  <w:style w:type="paragraph" w:customStyle="1" w:styleId="92B7907239744012B60F0B3FAAA3E790">
    <w:name w:val="92B7907239744012B60F0B3FAAA3E790"/>
    <w:pPr>
      <w:bidi/>
    </w:pPr>
  </w:style>
  <w:style w:type="paragraph" w:customStyle="1" w:styleId="E22AC65711A34668916CB61309452DF5">
    <w:name w:val="E22AC65711A34668916CB61309452DF5"/>
    <w:pPr>
      <w:bidi/>
    </w:pPr>
  </w:style>
  <w:style w:type="paragraph" w:customStyle="1" w:styleId="A91968EBEA1A414AA02D600DEA59407A">
    <w:name w:val="A91968EBEA1A414AA02D600DEA59407A"/>
    <w:pPr>
      <w:bidi/>
    </w:pPr>
  </w:style>
  <w:style w:type="paragraph" w:customStyle="1" w:styleId="01FCD79F7C534845A8EC9B2C4C6A830E">
    <w:name w:val="01FCD79F7C534845A8EC9B2C4C6A830E"/>
    <w:pPr>
      <w:bidi/>
    </w:pPr>
  </w:style>
  <w:style w:type="paragraph" w:customStyle="1" w:styleId="C6BA90FD77C34108A862B25D52FEAA7D">
    <w:name w:val="C6BA90FD77C34108A862B25D52FEAA7D"/>
    <w:pPr>
      <w:bidi/>
    </w:pPr>
  </w:style>
  <w:style w:type="paragraph" w:customStyle="1" w:styleId="81C61C40C0BE4DC6BB666A12DEC76965">
    <w:name w:val="81C61C40C0BE4DC6BB666A12DEC76965"/>
    <w:pPr>
      <w:bidi/>
    </w:pPr>
  </w:style>
  <w:style w:type="paragraph" w:customStyle="1" w:styleId="B733ED5D5A724ED0B06E3D6586625A84">
    <w:name w:val="B733ED5D5A724ED0B06E3D6586625A84"/>
    <w:pPr>
      <w:bidi/>
    </w:pPr>
  </w:style>
  <w:style w:type="paragraph" w:customStyle="1" w:styleId="9DB6482EC0F44A9D90CBA0F3A18BC05E">
    <w:name w:val="9DB6482EC0F44A9D90CBA0F3A18BC05E"/>
    <w:pPr>
      <w:bidi/>
    </w:pPr>
  </w:style>
  <w:style w:type="paragraph" w:customStyle="1" w:styleId="2450C01C33AB47DB90C4FED4CEF0E280">
    <w:name w:val="2450C01C33AB47DB90C4FED4CEF0E280"/>
    <w:pPr>
      <w:bidi/>
    </w:pPr>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271456905</CasePartyID>
        <PartyTypeID>2</PartyTypeID>
        <ActivityStatusID>1</ActivityStatusID>
        <PartyAliasID>23</PartyAliasID>
        <PartyAliasName>בא כוח משיבים</PartyAliasName>
        <LegalEntityID>381905</LegalEntityID>
        <CaseLegalEntityID>129271970</CaseLegalEntityID>
        <AuthenticationTypeID>4</AuthenticationTypeID>
        <AuthenticationTypeName>מ.ר.</AuthenticationTypeName>
        <LegalEntityNumber>16222</LegalEntityNumber>
        <IsMainPartyType>true</IsMainPartyType>
        <CaseDisplayIdentifier>31395-06-24</CaseDisplayIdentifier>
        <CaseTypeID>63</CaseTypeID>
        <CaseTypeName>ערעור משפחה (עמ"ש)</CaseTypeName>
        <CaseName>מרדכייב ואח' נ' נרייה סמנדוייב(המנוח) ואח'</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כרמל מזוז</FullName>
        <FirstName>כרמל</FirstName>
        <LastName>מזוז</LastName>
        <PartyPropertyName/>
        <AuthenticationTypeAndNumber>מ.ר. 41617</AuthenticationTypeAndNumber>
        <RepresentatedOrRepresentativesNames>קשרו סמנדוייב</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272967846</CasePartyID>
        <PartyTypeID>2</PartyTypeID>
        <ActivityStatusID>1</ActivityStatusID>
        <PartyAliasID>23</PartyAliasID>
        <PartyAliasName>בא כוח משיבים</PartyAliasName>
        <LegalEntityID>414833</LegalEntityID>
        <CaseLegalEntityID>129729357</CaseLegalEntityID>
        <AuthenticationTypeID>4</AuthenticationTypeID>
        <AuthenticationTypeName>מ.ר.</AuthenticationTypeName>
        <LegalEntityNumber>41617</LegalEntityNumber>
        <IsMainPartyType>true</IsMainPartyType>
        <CaseDisplayIdentifier>31395-06-24</CaseDisplayIdentifier>
        <CaseTypeID>63</CaseTypeID>
        <CaseTypeName>ערעור משפחה (עמ"ש)</CaseTypeName>
        <CaseName>מרדכייב ואח' נ' נרייה סמנדוייב(המנוח) ואח'</CaseName>
        <FullAddress>בן צבי  10 באר שבע קומה 6</FullAddress>
        <EmailAddress>misrad22@gmail.com</EmailAddress>
        <MotionID>0</MotionID>
        <CasePleaID>0</CasePleaID>
        <LinkedCaseID>0</LinkedCaseID>
        <PartyID>2</PartyID>
        <CasePartyCategoryID>2</CasePartyCategoryID>
        <LegalEntityAddressID>76413424</LegalEntityAddressID>
        <LegalEntityEmailAddressID>67867230</LegalEntityEmailAddressID>
        <PleaTypeID>6</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צד</PartyTypeName>
        <ProceedingType>כתב טענות עיקרי</ProceedingType>
        <PleaName>הודעת ערעור</PleaName>
        <PartyBelonging>צד א'</PartyBelonging>
        <RoleName>מערער 1 - תובע</RoleName>
        <IsSubProceeding>FALSE</IsSubProceeding>
        <FullName>אורלי מרדכייב</FullName>
        <FirstName>אורלי</FirstName>
        <LastName>מרדכייב</LastName>
        <PartyPropertyName/>
        <AuthenticationTypeAndNumber>ת"ז 314061847</AuthenticationTypeAndNumber>
        <RepresentatedOrRepresentativesNames>גדלי סולן</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271456643</CasePartyID>
        <PartyTypeID>1</PartyTypeID>
        <ActivityStatusID>1</ActivityStatusID>
        <PartyAliasID>5</PartyAliasID>
        <PartyAliasName>מערער</PartyAliasName>
        <OrdinalNumber>1</OrdinalNumber>
        <LegalEntityID>3793975</LegalEntityID>
        <CaseLegalEntityID>129271897</CaseLegalEntityID>
        <AuthenticationTypeID>1</AuthenticationTypeID>
        <AuthenticationTypeName>ת"ז</AuthenticationTypeName>
        <LegalEntityNumber>314061847</LegalEntityNumber>
        <IsMainPartyType>true</IsMainPartyType>
        <CaseDisplayIdentifier>31395-06-24</CaseDisplayIdentifier>
        <CaseTypeID>63</CaseTypeID>
        <CaseTypeName>ערעור משפחה (עמ"ש)</CaseTypeName>
        <CaseName>מרדכייב ואח' נ' נרייה סמנדוייב(המנוח) ואח'</CaseName>
        <FullAddress>רחוב סטרומה 1/2 קריית ים </FullAddress>
        <MotionID>0</MotionID>
        <CasePleaID>0</CasePleaID>
        <FatherName xml:space="preserve">        </FatherName>
        <LinkedCaseID>0</LinkedCaseID>
        <PartyID>1</PartyID>
        <CasePartyCategoryID>2</CasePartyCategoryID>
        <LegalEntityAddressID>83519042</LegalEntityAddressID>
        <PleaTypeID>6</PleaTypeID>
        <GroupPartyAlias>מערערים</GroupPartyAlias>
        <IsConverted>false</IsConverted>
        <LegalEntityRegisteredNameID>4840915</LegalEntityRegisteredNameID>
        <LegalEntityNameID>89062154</LegalEntityNameID>
        <RepresentatedNamesOfAssistant/>
        <LegalEntityTypeID>1</LegalEntityTypeID>
        <IsVerdictExists>false</IsVerdictExists>
        <IsAsirAzir>false</IsAsirAzir>
        <MainAndSecSpec/>
        <IsPublicationProhibited>false</IsPublicationProhibited>
        <PublicationProhibitedFullName>אורלי מרדכייב</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גדלי סולן</FullName>
        <FirstName>גדלי</FirstName>
        <LastName>סולן</LastName>
        <PartyPropertyName/>
        <AuthenticationTypeAndNumber>מ.ר. 32374</AuthenticationTypeAndNumber>
        <RepresentatedOrRepresentativesNames>אורלי מרדכייב, נדב איבטור מרדכייב</RepresentatedOrRepresentativesNames>
        <RepresentatedOrRepresentativesCount>2</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271456647</CasePartyID>
        <PartyTypeID>2</PartyTypeID>
        <ActivityStatusID>1</ActivityStatusID>
        <PartyAliasID>24</PartyAliasID>
        <PartyAliasName>בא כוח מערערים</PartyAliasName>
        <OrdinalNumber>1</OrdinalNumber>
        <LegalEntityID>406362</LegalEntityID>
        <CaseLegalEntityID>129271901</CaseLegalEntityID>
        <AuthenticationTypeID>4</AuthenticationTypeID>
        <AuthenticationTypeName>מ.ר.</AuthenticationTypeName>
        <LegalEntityNumber>32374</LegalEntityNumber>
        <IsMainPartyType>true</IsMainPartyType>
        <CaseDisplayIdentifier>31395-06-24</CaseDisplayIdentifier>
        <CaseTypeID>63</CaseTypeID>
        <CaseTypeName>ערעור משפחה (עמ"ש)</CaseTypeName>
        <CaseName>מרדכייב ואח' נ' נרייה סמנדוייב(המנוח) ואח'</CaseName>
        <FullAddress>פל ים 2 חיפה </FullAddress>
        <MotionID>0</MotionID>
        <CasePleaID>0</CasePleaID>
        <LinkedCaseID>0</LinkedCaseID>
        <PartyID>1</PartyID>
        <CasePartyCategoryID>2</CasePartyCategoryID>
        <LegalEntityAddressID>422116</LegalEntityAddressID>
        <PleaTypeID>6</PleaTypeID>
        <LawyerOfficeName>שרין סולן</LawyerOfficeName>
        <LawyerOfficeID>419778</LawyerOfficeID>
        <GroupPartyAlias/>
        <IsConverted>false</IsConverted>
        <LegalEntityNameID>27346</LegalEntityNameID>
        <RepresentatedNamesOfAssistant/>
        <LegalEntityTypeID>4</LegalEntityTypeID>
        <IsVerdictExists>false</IsVerdictExists>
        <IsAsirAzir>false</IsAsirAzir>
        <MainAndSecSpec/>
        <IsPublicationProhibited>false</IsPublicationProhibited>
        <PublicationProhibitedFullName>גדלי סולן</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עזבון המנוח נרייה סמנדוייב (המנוח)</FullName>
        <FirstName>עזבון המנוח</FirstName>
        <LastName>נרייה סמנדוייב</LastName>
        <PartyPropertyID>12</PartyPropertyID>
        <PartyPropertyName/>
        <AuthenticationTypeAndNumber>ת"ז 309756542</AuthenticationTypeAndNumber>
        <RepresentatedOrRepresentativesNames/>
        <RepresentatedOrRepresentativesCount>0</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271456644</CasePartyID>
        <PartyTypeID>1</PartyTypeID>
        <ActivityStatusID>1</ActivityStatusID>
        <PartyAliasID>4</PartyAliasID>
        <PartyAliasName>משיב</PartyAliasName>
        <OrdinalNumber>1</OrdinalNumber>
        <LegalEntityID>8684271</LegalEntityID>
        <CaseLegalEntityID>129271898</CaseLegalEntityID>
        <AuthenticationTypeID>1</AuthenticationTypeID>
        <AuthenticationTypeName>ת"ז</AuthenticationTypeName>
        <LegalEntityNumber>309756542</LegalEntityNumber>
        <IsMainPartyType>true</IsMainPartyType>
        <CaseDisplayIdentifier>31395-06-24</CaseDisplayIdentifier>
        <CaseTypeID>63</CaseTypeID>
        <CaseTypeName>ערעור משפחה (עמ"ש)</CaseTypeName>
        <CaseName>מרדכייב ואח' נ' נרייה סמנדוייב(המנוח) ואח'</CaseName>
        <FullAddress/>
        <MotionID>0</MotionID>
        <CasePleaID>0</CasePleaID>
        <FatherName>איוטור</FatherName>
        <LinkedCaseID>0</LinkedCaseID>
        <PartyID>2</PartyID>
        <CasePartyCategoryID>2</CasePartyCategoryID>
        <PleaTypeID>6</PleaTypeID>
        <GroupPartyAlias>משיבים</GroupPartyAlias>
        <IsConverted>false</IsConverted>
        <LegalEntityNameID>96711302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עזבון המנוח נרייה סמנדוייב (המנוח)</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נדב איבטור מרדכייב</FullName>
        <FirstName>נדב</FirstName>
        <LastName>מרדכייב</LastName>
        <PartyPropertyName/>
        <AuthenticationTypeAndNumber>ת"ז 213596059</AuthenticationTypeAndNumber>
        <RepresentatedOrRepresentativesNames>גדלי סולן</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277587722</CasePartyID>
        <PartyTypeID>1</PartyTypeID>
        <ActivityStatusID>1</ActivityStatusID>
        <PartyAliasID>5</PartyAliasID>
        <PartyAliasName>מערער</PartyAliasName>
        <OrdinalNumber>2</OrdinalNumber>
        <LegalEntityID>8660243</LegalEntityID>
        <CaseLegalEntityID>132311340</CaseLegalEntityID>
        <AuthenticationTypeID>1</AuthenticationTypeID>
        <AuthenticationTypeName>ת"ז</AuthenticationTypeName>
        <LegalEntityNumber>213596059</LegalEntityNumber>
        <IsMainPartyType>true</IsMainPartyType>
        <CaseDisplayIdentifier>31395-06-24</CaseDisplayIdentifier>
        <CaseTypeID>63</CaseTypeID>
        <CaseTypeName>ערעור משפחה (עמ"ש)</CaseTypeName>
        <CaseName>מרדכייב ואח' נ' נרייה סמנדוייב(המנוח) ואח'</CaseName>
        <FullAddress>סטרומה 1/2 קריית ים </FullAddress>
        <MotionID>0</MotionID>
        <CasePleaID>0</CasePleaID>
        <BirthDate>2005-12-09T00:00:00+02:00</BirthDate>
        <FatherName xml:space="preserve">        </FatherName>
        <LinkedCaseID>0</LinkedCaseID>
        <PartyID>1</PartyID>
        <CasePartyCategoryID>2</CasePartyCategoryID>
        <LegalEntityAddressID>90962031</LegalEntityAddressID>
        <PleaTypeID>6</PleaTypeID>
        <GroupPartyAlias>מערערים</GroupPartyAlias>
        <IsConverted>false</IsConverted>
        <LegalEntityRegisteredNameID>9562735</LegalEntityRegisteredNameID>
        <LegalEntityNameID>98224549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נדב איבטור מרדכייב</PublicationProhibitedFullName>
      </CaseParties>
      <CaseParties>
        <PartyTypeName>צד</PartyTypeName>
        <ProceedingType>כתב טענות עיקרי</ProceedingType>
        <PleaName>הודעת ערעור</PleaName>
        <PartyBelonging>צד ב'</PartyBelonging>
        <RoleName>משיב 2 - נתבע</RoleName>
        <IsSubProceeding>FALSE</IsSubProceeding>
        <FullName>קשרו סמנדוייב</FullName>
        <FirstName>קשרו</FirstName>
        <LastName>סמנדוייב</LastName>
        <PartyPropertyName/>
        <AuthenticationTypeAndNumber>ת"ז 317156032</AuthenticationTypeAndNumber>
        <RepresentatedOrRepresentativesNames>כרמל מזוז</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271456645</CasePartyID>
        <PartyTypeID>1</PartyTypeID>
        <ActivityStatusID>1</ActivityStatusID>
        <PartyAliasID>4</PartyAliasID>
        <PartyAliasName>משיב</PartyAliasName>
        <OrdinalNumber>2</OrdinalNumber>
        <LegalEntityID>69693283</LegalEntityID>
        <CaseLegalEntityID>129271899</CaseLegalEntityID>
        <AuthenticationTypeID>1</AuthenticationTypeID>
        <AuthenticationTypeName>ת"ז</AuthenticationTypeName>
        <LegalEntityNumber>317156032</LegalEntityNumber>
        <IsMainPartyType>true</IsMainPartyType>
        <CaseDisplayIdentifier>31395-06-24</CaseDisplayIdentifier>
        <CaseTypeID>63</CaseTypeID>
        <CaseTypeName>ערעור משפחה (עמ"ש)</CaseTypeName>
        <CaseName>מרדכייב ואח' נ' נרייה סמנדוייב(המנוח) ואח'</CaseName>
        <FullAddress>רחוב הכרם 4/1 חדרה </FullAddress>
        <MotionID>0</MotionID>
        <CasePleaID>0</CasePleaID>
        <FatherName>אלכסנדר</FatherName>
        <LinkedCaseID>0</LinkedCaseID>
        <PartyID>2</PartyID>
        <CasePartyCategoryID>2</CasePartyCategoryID>
        <LegalEntityAddressID>83519043</LegalEntityAddressID>
        <PleaTypeID>6</PleaTypeID>
        <GroupPartyAlias>משיבים</GroupPartyAlias>
        <IsConverted>false</IsConverted>
        <LegalEntityRegisteredNameID>8993053</LegalEntityRegisteredNameID>
        <LegalEntityNameID>89062156</LegalEntityNameID>
        <RepresentatedNamesOfAssistant/>
        <LegalEntityTypeID>1</LegalEntityTypeID>
        <IsVerdictExists>false</IsVerdictExists>
        <IsAsirAzir>false</IsAsirAzir>
        <MainAndSecSpec/>
        <IsPublicationProhibited>false</IsPublicationProhibited>
        <PublicationProhibitedFullName>קשרו סמנדוייב</PublicationProhibitedFullName>
      </CaseParties>
      <CaseParties>
        <PartyTypeName>צד</PartyTypeName>
        <ProceedingType>כתב טענות עיקרי</ProceedingType>
        <PleaName>הודעת ערעור</PleaName>
        <PartyBelonging>צד ב'</PartyBelonging>
        <RoleName>משיב 3 - נתבע</RoleName>
        <IsSubProceeding>FALSE</IsSubProceeding>
        <FullName>פרקליטות חיפה אזרחי</FullName>
        <LastName>פרקליטות חיפה אזרחי</LastName>
        <PartyPropertyName/>
        <AuthenticationTypeAndNumber>משרדי ממשלה 570000736</AuthenticationTypeAndNumber>
        <RepresentatedOrRepresentativesNames>אילה פיילס-שרון</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271456646</CasePartyID>
        <PartyTypeID>1</PartyTypeID>
        <ActivityStatusID>1</ActivityStatusID>
        <PartyAliasID>4</PartyAliasID>
        <PartyAliasName>משיב</PartyAliasName>
        <OrdinalNumber>3</OrdinalNumber>
        <LegalEntityID>20958249</LegalEntityID>
        <CaseLegalEntityID>129271900</CaseLegalEntityID>
        <AuthenticationTypeID>13</AuthenticationTypeID>
        <AuthenticationTypeName>משרדי ממשלה</AuthenticationTypeName>
        <LegalEntityNumber>570000736</LegalEntityNumber>
        <IsMainPartyType>true</IsMainPartyType>
        <CaseDisplayIdentifier>31395-06-24</CaseDisplayIdentifier>
        <CaseTypeID>63</CaseTypeID>
        <CaseTypeName>ערעור משפחה (עמ"ש)</CaseTypeName>
        <CaseName>מרדכייב ואח' נ' נרייה סמנדוייב(המנוח) ואח'</CaseName>
        <FullAddress>שד' פל - ים 15 א' חיפה </FullAddress>
        <EmailAddress>Ez_Haifa@justice.gov.il</EmailAddress>
        <MotionID>0</MotionID>
        <CasePleaID>0</CasePleaID>
        <LinkedCaseID>0</LinkedCaseID>
        <PartyID>2</PartyID>
        <CasePartyCategoryID>2</CasePartyCategoryID>
        <LegalEntityAddressID>21259982</LegalEntityAddressID>
        <LegalEntityEmailAddressID>43827783</LegalEntityEmailAddressID>
        <PleaTypeID>6</PleaTypeID>
        <GroupPartyAlias>משיבים</GroupPartyAlias>
        <IsConverted>false</IsConverted>
        <LegalEntityRegisteredNameID>1763478</LegalEntityRegisteredNameID>
        <RepresentatedNamesOfAssistant/>
        <LegalEntityTypeID>3</LegalEntityTypeID>
        <IsVerdictExists>false</IsVerdictExists>
        <IsAsirAzir>false</IsAsirAzir>
        <MainAndSecSpec/>
        <IsPublicationProhibited>false</IsPublicationProhibited>
        <PublicationProhibitedFullName>פרקליטות חיפה אזרחי</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true</IsCaseJudgePanel>
    <DecisionSignatureDate>2024-11-12T08:05:45.9936658+02:00</DecisionSignatureDate>
    <OpenCaseDate>2024-06-16T07:13:00+03:00</OpenCaseDate>
    <CaseFeeSum>0.000</CaseFeeSum>
    <DecisionTypeID>2</DecisionTypeID>
    <DecisionSignatureUserName>חננאל שרעבי</DecisionSignatureUserName>
    <DecisionSignatureDateHebrew>2024-11-12T08:05:45.9936658+02:00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מרדכייב ואח' נ' נרייה סמנדוייב(המנוח) ואח'</CaseName>
    <DecisionNumberInCase>12</DecisionNumberInCase>
  </dt_Decision>
  <dt_DecisionCase>
    <DecisionID>0</DecisionID>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271456905</CasePartyID>
        <PartyTypeID>2</PartyTypeID>
        <ActivityStatusID>1</ActivityStatusID>
        <PartyAliasID>23</PartyAliasID>
        <PartyAliasName>בא כוח משיבים</PartyAliasName>
        <LegalEntityID>381905</LegalEntityID>
        <CaseLegalEntityID>129271970</CaseLegalEntityID>
        <AuthenticationTypeID>4</AuthenticationTypeID>
        <AuthenticationTypeName>מ.ר.</AuthenticationTypeName>
        <LegalEntityNumber>16222</LegalEntityNumber>
        <IsMainPartyType>true</IsMainPartyType>
        <CaseDisplayIdentifier>31395-06-24</CaseDisplayIdentifier>
        <CaseTypeID>63</CaseTypeID>
        <CaseTypeName>ערעור משפחה (עמ"ש)</CaseTypeName>
        <CaseName>מרדכייב ואח' נ' נרייה סמנדוייב(המנוח) ואח'</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כרמל מזוז</FullName>
        <FirstName>כרמל</FirstName>
        <LastName>מזוז</LastName>
        <PartyPropertyName/>
        <AuthenticationTypeAndNumber>מ.ר. 41617</AuthenticationTypeAndNumber>
        <RepresentatedOrRepresentativesNames>קשרו סמנדוייב</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272967846</CasePartyID>
        <PartyTypeID>2</PartyTypeID>
        <ActivityStatusID>1</ActivityStatusID>
        <PartyAliasID>23</PartyAliasID>
        <PartyAliasName>בא כוח משיבים</PartyAliasName>
        <LegalEntityID>414833</LegalEntityID>
        <CaseLegalEntityID>129729357</CaseLegalEntityID>
        <AuthenticationTypeID>4</AuthenticationTypeID>
        <AuthenticationTypeName>מ.ר.</AuthenticationTypeName>
        <LegalEntityNumber>41617</LegalEntityNumber>
        <IsMainPartyType>true</IsMainPartyType>
        <CaseDisplayIdentifier>31395-06-24</CaseDisplayIdentifier>
        <CaseTypeID>63</CaseTypeID>
        <CaseTypeName>ערעור משפחה (עמ"ש)</CaseTypeName>
        <CaseName>מרדכייב ואח' נ' נרייה סמנדוייב(המנוח) ואח'</CaseName>
        <FullAddress>בן צבי  10 באר שבע קומה 6</FullAddress>
        <EmailAddress>misrad22@gmail.com</EmailAddress>
        <MotionID>0</MotionID>
        <CasePleaID>0</CasePleaID>
        <LinkedCaseID>0</LinkedCaseID>
        <PartyID>2</PartyID>
        <CasePartyCategoryID>2</CasePartyCategoryID>
        <LegalEntityAddressID>76413424</LegalEntityAddressID>
        <LegalEntityEmailAddressID>67867230</LegalEntityEmailAddressID>
        <PleaTypeID>6</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צד</PartyTypeName>
        <ProceedingType>כתב טענות עיקרי</ProceedingType>
        <PleaName>הודעת ערעור</PleaName>
        <PartyBelonging>צד א'</PartyBelonging>
        <RoleName>מערער 1 - תובע</RoleName>
        <IsSubProceeding>FALSE</IsSubProceeding>
        <FullName>אורלי מרדכייב</FullName>
        <FirstName>אורלי</FirstName>
        <LastName>מרדכייב</LastName>
        <PartyPropertyName/>
        <AuthenticationTypeAndNumber>ת"ז 314061847</AuthenticationTypeAndNumber>
        <RepresentatedOrRepresentativesNames>גדלי סולן</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271456643</CasePartyID>
        <PartyTypeID>1</PartyTypeID>
        <ActivityStatusID>1</ActivityStatusID>
        <PartyAliasID>5</PartyAliasID>
        <PartyAliasName>מערער</PartyAliasName>
        <OrdinalNumber>1</OrdinalNumber>
        <LegalEntityID>3793975</LegalEntityID>
        <CaseLegalEntityID>129271897</CaseLegalEntityID>
        <AuthenticationTypeID>1</AuthenticationTypeID>
        <AuthenticationTypeName>ת"ז</AuthenticationTypeName>
        <LegalEntityNumber>314061847</LegalEntityNumber>
        <IsMainPartyType>true</IsMainPartyType>
        <CaseDisplayIdentifier>31395-06-24</CaseDisplayIdentifier>
        <CaseTypeID>63</CaseTypeID>
        <CaseTypeName>ערעור משפחה (עמ"ש)</CaseTypeName>
        <CaseName>מרדכייב ואח' נ' נרייה סמנדוייב(המנוח) ואח'</CaseName>
        <FullAddress>רחוב סטרומה 1/2 קריית ים </FullAddress>
        <MotionID>0</MotionID>
        <CasePleaID>0</CasePleaID>
        <FatherName xml:space="preserve">        </FatherName>
        <LinkedCaseID>0</LinkedCaseID>
        <PartyID>1</PartyID>
        <CasePartyCategoryID>2</CasePartyCategoryID>
        <LegalEntityAddressID>83519042</LegalEntityAddressID>
        <PleaTypeID>6</PleaTypeID>
        <GroupPartyAlias>מערערים</GroupPartyAlias>
        <IsConverted>false</IsConverted>
        <LegalEntityRegisteredNameID>4840915</LegalEntityRegisteredNameID>
        <LegalEntityNameID>89062154</LegalEntityNameID>
        <RepresentatedNamesOfAssistant/>
        <LegalEntityTypeID>1</LegalEntityTypeID>
        <IsVerdictExists>false</IsVerdictExists>
        <IsAsirAzir>false</IsAsirAzir>
        <MainAndSecSpec/>
        <IsPublicationProhibited>false</IsPublicationProhibited>
        <PublicationProhibitedFullName>אורלי מרדכייב</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גדלי סולן</FullName>
        <FirstName>גדלי</FirstName>
        <LastName>סולן</LastName>
        <PartyPropertyName/>
        <AuthenticationTypeAndNumber>מ.ר. 32374</AuthenticationTypeAndNumber>
        <RepresentatedOrRepresentativesNames>אורלי מרדכייב, נדב איבטור מרדכייב</RepresentatedOrRepresentativesNames>
        <RepresentatedOrRepresentativesCount>2</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271456647</CasePartyID>
        <PartyTypeID>2</PartyTypeID>
        <ActivityStatusID>1</ActivityStatusID>
        <PartyAliasID>24</PartyAliasID>
        <PartyAliasName>בא כוח מערערים</PartyAliasName>
        <OrdinalNumber>1</OrdinalNumber>
        <LegalEntityID>406362</LegalEntityID>
        <CaseLegalEntityID>129271901</CaseLegalEntityID>
        <AuthenticationTypeID>4</AuthenticationTypeID>
        <AuthenticationTypeName>מ.ר.</AuthenticationTypeName>
        <LegalEntityNumber>32374</LegalEntityNumber>
        <IsMainPartyType>true</IsMainPartyType>
        <CaseDisplayIdentifier>31395-06-24</CaseDisplayIdentifier>
        <CaseTypeID>63</CaseTypeID>
        <CaseTypeName>ערעור משפחה (עמ"ש)</CaseTypeName>
        <CaseName>מרדכייב ואח' נ' נרייה סמנדוייב(המנוח) ואח'</CaseName>
        <FullAddress>פל ים 2 חיפה </FullAddress>
        <MotionID>0</MotionID>
        <CasePleaID>0</CasePleaID>
        <LinkedCaseID>0</LinkedCaseID>
        <PartyID>1</PartyID>
        <CasePartyCategoryID>2</CasePartyCategoryID>
        <LegalEntityAddressID>422116</LegalEntityAddressID>
        <PleaTypeID>6</PleaTypeID>
        <LawyerOfficeName>שרין סולן</LawyerOfficeName>
        <LawyerOfficeID>419778</LawyerOfficeID>
        <GroupPartyAlias/>
        <IsConverted>false</IsConverted>
        <LegalEntityNameID>27346</LegalEntityNameID>
        <RepresentatedNamesOfAssistant/>
        <LegalEntityTypeID>4</LegalEntityTypeID>
        <IsVerdictExists>false</IsVerdictExists>
        <IsAsirAzir>false</IsAsirAzir>
        <MainAndSecSpec/>
        <IsPublicationProhibited>false</IsPublicationProhibited>
        <PublicationProhibitedFullName>גדלי סולן</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עזבון המנוח נרייה סמנדוייב (המנוח)</FullName>
        <FirstName>עזבון המנוח</FirstName>
        <LastName>נרייה סמנדוייב</LastName>
        <PartyPropertyID>12</PartyPropertyID>
        <PartyPropertyName/>
        <AuthenticationTypeAndNumber>ת"ז 309756542</AuthenticationTypeAndNumber>
        <RepresentatedOrRepresentativesNames/>
        <RepresentatedOrRepresentativesCount>0</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271456644</CasePartyID>
        <PartyTypeID>1</PartyTypeID>
        <ActivityStatusID>1</ActivityStatusID>
        <PartyAliasID>4</PartyAliasID>
        <PartyAliasName>משיב</PartyAliasName>
        <OrdinalNumber>1</OrdinalNumber>
        <LegalEntityID>8684271</LegalEntityID>
        <CaseLegalEntityID>129271898</CaseLegalEntityID>
        <AuthenticationTypeID>1</AuthenticationTypeID>
        <AuthenticationTypeName>ת"ז</AuthenticationTypeName>
        <LegalEntityNumber>309756542</LegalEntityNumber>
        <IsMainPartyType>true</IsMainPartyType>
        <CaseDisplayIdentifier>31395-06-24</CaseDisplayIdentifier>
        <CaseTypeID>63</CaseTypeID>
        <CaseTypeName>ערעור משפחה (עמ"ש)</CaseTypeName>
        <CaseName>מרדכייב ואח' נ' נרייה סמנדוייב(המנוח) ואח'</CaseName>
        <FullAddress/>
        <MotionID>0</MotionID>
        <CasePleaID>0</CasePleaID>
        <FatherName>איוטור</FatherName>
        <LinkedCaseID>0</LinkedCaseID>
        <PartyID>2</PartyID>
        <CasePartyCategoryID>2</CasePartyCategoryID>
        <PleaTypeID>6</PleaTypeID>
        <GroupPartyAlias>משיבים</GroupPartyAlias>
        <IsConverted>false</IsConverted>
        <LegalEntityNameID>96711302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עזבון המנוח נרייה סמנדוייב (המנוח)</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נדב איבטור מרדכייב</FullName>
        <FirstName>נדב</FirstName>
        <LastName>מרדכייב</LastName>
        <PartyPropertyName/>
        <AuthenticationTypeAndNumber>ת"ז 213596059</AuthenticationTypeAndNumber>
        <RepresentatedOrRepresentativesNames>גדלי סולן</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277587722</CasePartyID>
        <PartyTypeID>1</PartyTypeID>
        <ActivityStatusID>1</ActivityStatusID>
        <PartyAliasID>5</PartyAliasID>
        <PartyAliasName>מערער</PartyAliasName>
        <OrdinalNumber>2</OrdinalNumber>
        <LegalEntityID>8660243</LegalEntityID>
        <CaseLegalEntityID>132311340</CaseLegalEntityID>
        <AuthenticationTypeID>1</AuthenticationTypeID>
        <AuthenticationTypeName>ת"ז</AuthenticationTypeName>
        <LegalEntityNumber>213596059</LegalEntityNumber>
        <IsMainPartyType>true</IsMainPartyType>
        <CaseDisplayIdentifier>31395-06-24</CaseDisplayIdentifier>
        <CaseTypeID>63</CaseTypeID>
        <CaseTypeName>ערעור משפחה (עמ"ש)</CaseTypeName>
        <CaseName>מרדכייב ואח' נ' נרייה סמנדוייב(המנוח) ואח'</CaseName>
        <FullAddress>סטרומה 1/2 קריית ים </FullAddress>
        <MotionID>0</MotionID>
        <CasePleaID>0</CasePleaID>
        <BirthDate>2005-12-09T00:00:00+02:00</BirthDate>
        <FatherName xml:space="preserve">        </FatherName>
        <LinkedCaseID>0</LinkedCaseID>
        <PartyID>1</PartyID>
        <CasePartyCategoryID>2</CasePartyCategoryID>
        <LegalEntityAddressID>90962031</LegalEntityAddressID>
        <PleaTypeID>6</PleaTypeID>
        <GroupPartyAlias>מערערים</GroupPartyAlias>
        <IsConverted>false</IsConverted>
        <LegalEntityRegisteredNameID>9562735</LegalEntityRegisteredNameID>
        <LegalEntityNameID>98224549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נדב איבטור מרדכייב</PublicationProhibitedFullName>
      </CaseParties>
      <CaseParties>
        <PartyTypeName>צד</PartyTypeName>
        <ProceedingType>כתב טענות עיקרי</ProceedingType>
        <PleaName>הודעת ערעור</PleaName>
        <PartyBelonging>צד ב'</PartyBelonging>
        <RoleName>משיב 2 - נתבע</RoleName>
        <IsSubProceeding>FALSE</IsSubProceeding>
        <FullName>קשרו סמנדוייב</FullName>
        <FirstName>קשרו</FirstName>
        <LastName>סמנדוייב</LastName>
        <PartyPropertyName/>
        <AuthenticationTypeAndNumber>ת"ז 317156032</AuthenticationTypeAndNumber>
        <RepresentatedOrRepresentativesNames>כרמל מזוז</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271456645</CasePartyID>
        <PartyTypeID>1</PartyTypeID>
        <ActivityStatusID>1</ActivityStatusID>
        <PartyAliasID>4</PartyAliasID>
        <PartyAliasName>משיב</PartyAliasName>
        <OrdinalNumber>2</OrdinalNumber>
        <LegalEntityID>69693283</LegalEntityID>
        <CaseLegalEntityID>129271899</CaseLegalEntityID>
        <AuthenticationTypeID>1</AuthenticationTypeID>
        <AuthenticationTypeName>ת"ז</AuthenticationTypeName>
        <LegalEntityNumber>317156032</LegalEntityNumber>
        <IsMainPartyType>true</IsMainPartyType>
        <CaseDisplayIdentifier>31395-06-24</CaseDisplayIdentifier>
        <CaseTypeID>63</CaseTypeID>
        <CaseTypeName>ערעור משפחה (עמ"ש)</CaseTypeName>
        <CaseName>מרדכייב ואח' נ' נרייה סמנדוייב(המנוח) ואח'</CaseName>
        <FullAddress>רחוב הכרם 4/1 חדרה </FullAddress>
        <MotionID>0</MotionID>
        <CasePleaID>0</CasePleaID>
        <FatherName>אלכסנדר</FatherName>
        <LinkedCaseID>0</LinkedCaseID>
        <PartyID>2</PartyID>
        <CasePartyCategoryID>2</CasePartyCategoryID>
        <LegalEntityAddressID>83519043</LegalEntityAddressID>
        <PleaTypeID>6</PleaTypeID>
        <GroupPartyAlias>משיבים</GroupPartyAlias>
        <IsConverted>false</IsConverted>
        <LegalEntityRegisteredNameID>8993053</LegalEntityRegisteredNameID>
        <LegalEntityNameID>89062156</LegalEntityNameID>
        <RepresentatedNamesOfAssistant/>
        <LegalEntityTypeID>1</LegalEntityTypeID>
        <IsVerdictExists>false</IsVerdictExists>
        <IsAsirAzir>false</IsAsirAzir>
        <MainAndSecSpec/>
        <IsPublicationProhibited>false</IsPublicationProhibited>
        <PublicationProhibitedFullName>קשרו סמנדוייב</PublicationProhibitedFullName>
      </CaseParties>
      <CaseParties>
        <PartyTypeName>צד</PartyTypeName>
        <ProceedingType>כתב טענות עיקרי</ProceedingType>
        <PleaName>הודעת ערעור</PleaName>
        <PartyBelonging>צד ב'</PartyBelonging>
        <RoleName>משיב 3 - נתבע</RoleName>
        <IsSubProceeding>FALSE</IsSubProceeding>
        <FullName>פרקליטות חיפה אזרחי</FullName>
        <LastName>פרקליטות חיפה אזרחי</LastName>
        <PartyPropertyName/>
        <AuthenticationTypeAndNumber>משרדי ממשלה 570000736</AuthenticationTypeAndNumber>
        <RepresentatedOrRepresentativesNames>אילה פיילס-שרון</RepresentatedOrRepresentativesNames>
        <RepresentatedOrRepresentativesCount>1</RepresentatedOrRepresentativesCount>
        <InvitedBy/>
        <CaseID>81313098</CaseID>
        <CaseJudicialPersonPresentationDS>
          <CaseJudicalPersonActive>
            <CaseID>81313098</CaseID>
            <JudicialPersonID>056479827@GOV.IL</JudicialPersonID>
            <JudicialPersonTypeID>1</JudicialPersonTypeID>
            <JudicialTypeID>3</JudicialTypeID>
            <IsChairman>true</IsChairman>
            <TreatmentStartDate>2024-06-16T13:41:42.023+03:00</TreatmentStartDate>
            <TreatmentFinishDate>9999-12-31T23:59:59.997+02:00</TreatmentFinishDate>
            <IdentificationCardNumber>056479827</IdentificationCardNumber>
            <DisplayName>חננאל שרעבי</DisplayName>
            <JudicialTypeName>הרכב שופטים</JudicialTypeName>
            <CaseJudicialGroupNumber>583381</CaseJudicialGroupNumber>
            <FirstName>חננאל</FirstName>
            <LastName>שרעבי</LastName>
            <JudicialPersonTitle>שופט</JudicialPersonTitle>
          </CaseJudicalPersonActive>
          <CaseJudicalPersonActive>
            <CaseID>81313098</CaseID>
            <JudicialPersonID>057955775@GOV.IL</JudicialPersonID>
            <JudicialPersonTypeID>1</JudicialPersonTypeID>
            <JudicialTypeID>3</JudicialTypeID>
            <IsChairman>false</IsChairman>
            <TreatmentStartDate>2024-06-16T13:41:42.023+03:00</TreatmentStartDate>
            <TreatmentFinishDate>9999-12-31T23:59:59.997+02:00</TreatmentFinishDate>
            <IdentificationCardNumber>057955775</IdentificationCardNumber>
            <DisplayName>אספרנצה אלון</DisplayName>
            <JudicialTypeName>הרכב שופטים</JudicialTypeName>
            <CaseJudicialGroupNumber>583381</CaseJudicialGroupNumber>
            <FirstName>אספרנצה</FirstName>
            <LastName>אלון</LastName>
            <JudicialPersonTitle>שופט</JudicialPersonTitle>
          </CaseJudicalPersonActive>
          <CaseJudicalPersonActive>
            <CaseID>81313098</CaseID>
            <JudicialPersonID>058677980@GOV.IL</JudicialPersonID>
            <JudicialPersonTypeID>1</JudicialPersonTypeID>
            <JudicialTypeID>3</JudicialTypeID>
            <IsChairman>false</IsChairman>
            <TreatmentStartDate>2024-06-16T13:41:42.023+03:00</TreatmentStartDate>
            <TreatmentFinishDate>9999-12-31T23:59:59.997+02:00</TreatmentFinishDate>
            <IdentificationCardNumber>058677980</IdentificationCardNumber>
            <DisplayName>אריה נאמן</DisplayName>
            <JudicialTypeName>הרכב שופטים</JudicialTypeName>
            <CaseJudicialGroupNumber>583381</CaseJudicialGroupNumber>
            <FirstName>אריה</FirstName>
            <LastName>נאמן</LastName>
            <JudicialPersonTitle>שופט</JudicialPersonTitle>
          </CaseJudicalPersonActive>
        </CaseJudicialPersonPresentationDS>
        <CasePartyID>271456646</CasePartyID>
        <PartyTypeID>1</PartyTypeID>
        <ActivityStatusID>1</ActivityStatusID>
        <PartyAliasID>4</PartyAliasID>
        <PartyAliasName>משיב</PartyAliasName>
        <OrdinalNumber>3</OrdinalNumber>
        <LegalEntityID>20958249</LegalEntityID>
        <CaseLegalEntityID>129271900</CaseLegalEntityID>
        <AuthenticationTypeID>13</AuthenticationTypeID>
        <AuthenticationTypeName>משרדי ממשלה</AuthenticationTypeName>
        <LegalEntityNumber>570000736</LegalEntityNumber>
        <IsMainPartyType>true</IsMainPartyType>
        <CaseDisplayIdentifier>31395-06-24</CaseDisplayIdentifier>
        <CaseTypeID>63</CaseTypeID>
        <CaseTypeName>ערעור משפחה (עמ"ש)</CaseTypeName>
        <CaseName>מרדכייב ואח' נ' נרייה סמנדוייב(המנוח) ואח'</CaseName>
        <FullAddress>שד' פל - ים 15 א' חיפה </FullAddress>
        <EmailAddress>Ez_Haifa@justice.gov.il</EmailAddress>
        <MotionID>0</MotionID>
        <CasePleaID>0</CasePleaID>
        <LinkedCaseID>0</LinkedCaseID>
        <PartyID>2</PartyID>
        <CasePartyCategoryID>2</CasePartyCategoryID>
        <LegalEntityAddressID>21259982</LegalEntityAddressID>
        <LegalEntityEmailAddressID>43827783</LegalEntityEmailAddressID>
        <PleaTypeID>6</PleaTypeID>
        <GroupPartyAlias>משיבים</GroupPartyAlias>
        <IsConverted>false</IsConverted>
        <LegalEntityRegisteredNameID>1763478</LegalEntityRegisteredNameID>
        <RepresentatedNamesOfAssistant/>
        <LegalEntityTypeID>3</LegalEntityTypeID>
        <IsVerdictExists>false</IsVerdictExists>
        <IsAsirAzir>false</IsAsirAzir>
        <MainAndSecSpec/>
        <IsPublicationProhibited>false</IsPublicationProhibited>
        <PublicationProhibitedFullName>פרקליטות חיפה אזרחי</PublicationProhibitedFullName>
      </CaseParties>
    </CasePartiesSelectionDS>
    <CaseName>מרדכייב ואח' נ' נרייה סמנדוייב(המנוח) ואח'</CaseName>
    <CaseDisplayIdentifier>31395-06-24</CaseDisplayIdentifier>
    <CaseInterestID>67</CaseInterestID>
    <CaseTypeShortName>עמ"ש</CaseTypeShortName>
  </dt_DecisionCase>
  <dt_DecisionJudgePanel>
    <JudgeID>056479827@GOV.IL</JudgeID>
    <DisplayName>שרעבי</DisplayName>
    <RoleName>שופט</RoleName>
    <UserTitleName>שופט</UserTitleName>
  </dt_DecisionJudgePanel>
  <dt_DecisionJudgePanel>
    <JudgeID>057955775@GOV.IL</JudgeID>
    <DisplayName>אלון</DisplayName>
    <RoleName>שופט</RoleName>
    <UserTitleName>שופטת</UserTitleName>
  </dt_DecisionJudgePanel>
  <dt_DecisionJudgePanel>
    <JudgeID>058677980@GOV.IL</JudgeID>
    <DisplayName>נאמן</DisplayName>
    <RoleName>שופט</RoleName>
    <UserTitleName>שופט</UserTitleName>
  </dt_DecisionJudgePanel>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Fax>08-9100550</Fax>
    <Phone>08-6270141</Phone>
    <AddressDesc>קומה 6</AddressDesc>
    <PartyID>2</PartyID>
    <PartyTypeID>2</PartyTypeID>
    <DecisionID>0</DecisionID>
    <StreetName>בן צבי  10</StreetName>
    <ZipCode>84893</ZipCode>
    <CityName>באר שבע</CityName>
    <FullName>כרמל מזוז</FullName>
    <Email>misrad22@gmail.com</Email>
    <IsPublicationProhibited>false</IsPublicationProhibited>
  </dt_LegalEntityDetails>
  <dt_LegalEntityDetails>
    <PartyID>1</PartyID>
    <PartyTypeID>1</PartyTypeID>
    <DecisionID>0</DecisionID>
    <StreetName>רחוב סטרומה 1/2</StreetName>
    <CityName>קריית ים</CityName>
    <FullName>אורלי מרדכייב</FullName>
    <IsPublicationProhibited>false</IsPublicationProhibited>
  </dt_LegalEntityDetails>
  <dt_LegalEntityDetails>
    <PartyID>2</PartyID>
    <PartyTypeID>1</PartyTypeID>
    <DecisionID>0</DecisionID>
    <FullName>עזבון המנוח  נרייה סמנדוייב</FullName>
    <IsPublicationProhibited>false</IsPublicationProhibited>
  </dt_LegalEntityDetails>
  <dt_LegalEntityDetails>
    <Fax>04-8668884</Fax>
    <PartyID>1</PartyID>
    <PartyTypeID>2</PartyTypeID>
    <DecisionID>0</DecisionID>
    <StreetName>פל ים 2</StreetName>
    <ZipCode>33095</ZipCode>
    <CityName>חיפה</CityName>
    <FullName>גדלי סולן</FullName>
    <Email>solanlaw@gmail.com</Email>
    <IsPublicationProhibited>false</IsPublicationProhibited>
  </dt_LegalEntityDetails>
  <dt_LegalEntityDetails>
    <PartyID>2</PartyID>
    <PartyTypeID>1</PartyTypeID>
    <DecisionID>0</DecisionID>
    <StreetName>רחוב הכרם 4/1</StreetName>
    <CityName>חדרה</CityName>
    <FullName>קשרו סמנדוייב</FullName>
    <IsPublicationProhibited>false</IsPublicationProhibited>
  </dt_LegalEntityDetails>
  <dt_LegalEntityDetails>
    <PartyID>1</PartyID>
    <PartyTypeID>1</PartyTypeID>
    <DecisionID>0</DecisionID>
    <StreetName>סטרומה 1/2</StreetName>
    <CityName>קריית ים</CityName>
    <FullName>נדב איבטור  מרדכייב</FullName>
    <IsPublicationProhibited>false</IsPublicationProhibited>
  </dt_LegalEntityDetails>
  <dt_LegalEntityDetails>
    <Fax>04-8634011</Fax>
    <Phone>073-3921400</Phone>
    <PartyID>2</PartyID>
    <PartyTypeID>1</PartyTypeID>
    <DecisionID>0</DecisionID>
    <StreetName>שד' פל - ים 15 א' </StreetName>
    <CityName>חיפה</CityName>
    <FullName> פרקליטות חיפה אזרחי</FullName>
    <Email>Ez_Haifa@justice.gov.il</Email>
    <IsPublicationProhibited>false</IsPublicationProhibited>
  </dt_LegalEntityDetails>
  <dt_CaseJudicalPersonActive>
    <CaseJudicalPerson>שופט חננאל שרעבי, שופטת אספרנצה אלון, שופט אריה נאמן</CaseJudicalPerson>
  </dt_CaseJudicalPersonActive>
  <dt_Sitting>
    <PreviousMeetingDate>2024-11-11T09:30:00+02:00</PreviousMeetingDate>
    <PreviousSittingTypeID>5</PreviousSittingTypeID>
    <PreviousMeetingDisplayName>חננאל שרעבי, אספרנצה אלון, אריה נאמן</PreviousMeetingDisplayName>
    <PreviousMeetingUserUPN>056479827@GOV.IL, 057955775@GOV.IL, 058677980@GOV.IL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00659-5232-4939-9BBF-0657513EF031}">
  <ds:schemaRefs/>
</ds:datastoreItem>
</file>

<file path=customXml/itemProps2.xml><?xml version="1.0" encoding="utf-8"?>
<ds:datastoreItem xmlns:ds="http://schemas.openxmlformats.org/officeDocument/2006/customXml" ds:itemID="{66801C91-A2E0-47D0-A23A-38E79BAB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2549</Words>
  <Characters>12750</Characters>
  <Application>Microsoft Office Word</Application>
  <DocSecurity>0</DocSecurity>
  <Lines>106</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2024-11-25T09:26:00Z</dcterms:created>
  <dcterms:modified xsi:type="dcterms:W3CDTF">2024-11-25T09:26:00Z</dcterms:modified>
</cp:coreProperties>
</file>